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7CFC" w14:textId="336A828D" w:rsidR="003803F2" w:rsidRDefault="00614D1E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 w:themeColor="text1"/>
          <w:lang w:val="en-GB" w:eastAsia="de-DE"/>
        </w:rPr>
      </w:pPr>
      <w:r>
        <w:rPr>
          <w:rFonts w:ascii="Arial" w:eastAsia="Times New Roman" w:hAnsi="Arial" w:cs="Arial"/>
          <w:b/>
          <w:color w:val="000000" w:themeColor="text1"/>
          <w:lang w:val="en-GB" w:eastAsia="de-DE"/>
        </w:rPr>
        <w:t>Best supportive</w:t>
      </w:r>
      <w:r w:rsidR="007F5B6B" w:rsidRPr="00A11E3E">
        <w:rPr>
          <w:rFonts w:ascii="Arial" w:eastAsia="Times New Roman" w:hAnsi="Arial" w:cs="Arial"/>
          <w:b/>
          <w:color w:val="000000" w:themeColor="text1"/>
          <w:lang w:val="en-GB" w:eastAsia="de-DE"/>
        </w:rPr>
        <w:t xml:space="preserve"> care for patients with PPMS prior to ocrelizumab: RETRO PPMS</w:t>
      </w:r>
      <w:r w:rsidR="00317239" w:rsidRPr="00317239">
        <w:rPr>
          <w:rFonts w:ascii="Arial" w:eastAsia="Times New Roman" w:hAnsi="Arial" w:cs="Arial"/>
          <w:b/>
          <w:color w:val="000000" w:themeColor="text1"/>
          <w:lang w:val="en-GB" w:eastAsia="de-DE"/>
        </w:rPr>
        <w:t xml:space="preserve"> </w:t>
      </w:r>
      <w:r w:rsidR="00317239">
        <w:rPr>
          <w:rFonts w:ascii="Arial" w:eastAsia="Times New Roman" w:hAnsi="Arial" w:cs="Arial"/>
          <w:b/>
          <w:color w:val="000000" w:themeColor="text1"/>
          <w:lang w:val="en-GB" w:eastAsia="de-DE"/>
        </w:rPr>
        <w:t>f</w:t>
      </w:r>
      <w:r w:rsidR="00317239" w:rsidRPr="00A11E3E">
        <w:rPr>
          <w:rFonts w:ascii="Arial" w:eastAsia="Times New Roman" w:hAnsi="Arial" w:cs="Arial"/>
          <w:b/>
          <w:color w:val="000000" w:themeColor="text1"/>
          <w:lang w:val="en-GB" w:eastAsia="de-DE"/>
        </w:rPr>
        <w:t>inal results</w:t>
      </w:r>
      <w:r w:rsidR="007C0AB5">
        <w:rPr>
          <w:rFonts w:ascii="Arial" w:eastAsia="Times New Roman" w:hAnsi="Arial" w:cs="Arial"/>
          <w:b/>
          <w:color w:val="000000" w:themeColor="text1"/>
          <w:lang w:val="en-GB" w:eastAsia="de-DE"/>
        </w:rPr>
        <w:t xml:space="preserve"> (77 Characters, 83 Max)</w:t>
      </w:r>
    </w:p>
    <w:p w14:paraId="2A55EA7D" w14:textId="3D11869E" w:rsidR="007C0AB5" w:rsidRDefault="007C0AB5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 w:themeColor="text1"/>
          <w:lang w:val="en-GB" w:eastAsia="de-DE"/>
        </w:rPr>
      </w:pPr>
    </w:p>
    <w:p w14:paraId="646620A1" w14:textId="300674FD" w:rsidR="007C0AB5" w:rsidRDefault="007C0AB5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 w:themeColor="text1"/>
          <w:lang w:val="en-GB" w:eastAsia="de-DE"/>
        </w:rPr>
      </w:pPr>
      <w:r>
        <w:rPr>
          <w:rFonts w:ascii="Arial" w:eastAsia="Times New Roman" w:hAnsi="Arial" w:cs="Arial"/>
          <w:b/>
          <w:color w:val="000000" w:themeColor="text1"/>
          <w:lang w:val="en-GB" w:eastAsia="de-DE"/>
        </w:rPr>
        <w:t>Short title (</w:t>
      </w:r>
      <w:r w:rsidR="001D7784">
        <w:rPr>
          <w:rFonts w:ascii="Arial" w:eastAsia="Times New Roman" w:hAnsi="Arial" w:cs="Arial"/>
          <w:b/>
          <w:color w:val="000000" w:themeColor="text1"/>
          <w:lang w:val="en-GB" w:eastAsia="de-DE"/>
        </w:rPr>
        <w:t>39 Characters; 45 Max)</w:t>
      </w:r>
    </w:p>
    <w:p w14:paraId="5CEA2268" w14:textId="4F69178A" w:rsidR="001D7784" w:rsidRPr="00F65E8B" w:rsidRDefault="001D7784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i/>
          <w:iCs/>
          <w:color w:val="000000" w:themeColor="text1"/>
          <w:lang w:val="en-GB" w:eastAsia="de-DE"/>
        </w:rPr>
      </w:pPr>
      <w:r w:rsidRPr="00F65E8B">
        <w:rPr>
          <w:rFonts w:ascii="Arial" w:eastAsia="Times New Roman" w:hAnsi="Arial" w:cs="Arial"/>
          <w:bCs/>
          <w:i/>
          <w:iCs/>
          <w:color w:val="000000" w:themeColor="text1"/>
          <w:lang w:val="en-GB" w:eastAsia="de-DE"/>
        </w:rPr>
        <w:t>Supportive care for PPMS prior to ocrelizumab</w:t>
      </w:r>
    </w:p>
    <w:p w14:paraId="0DB8F435" w14:textId="77777777" w:rsidR="001D7784" w:rsidRPr="00A11E3E" w:rsidRDefault="001D7784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 w:themeColor="text1"/>
          <w:lang w:val="en-GB" w:eastAsia="de-DE"/>
        </w:rPr>
      </w:pPr>
    </w:p>
    <w:p w14:paraId="5D919A01" w14:textId="4E8C755B" w:rsidR="00E3128D" w:rsidRPr="00181EEB" w:rsidRDefault="00E3128D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i/>
          <w:iCs/>
          <w:lang w:eastAsia="de-DE"/>
        </w:rPr>
      </w:pPr>
      <w:r w:rsidRPr="00181EEB">
        <w:rPr>
          <w:rFonts w:ascii="Arial" w:eastAsia="Times New Roman" w:hAnsi="Arial" w:cs="Arial"/>
          <w:b/>
          <w:bCs/>
          <w:lang w:eastAsia="de-DE"/>
        </w:rPr>
        <w:t>Herbert Schreiber</w:t>
      </w:r>
      <w:r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1</w:t>
      </w:r>
      <w:r w:rsidRPr="00181EEB">
        <w:rPr>
          <w:rFonts w:ascii="Arial" w:eastAsia="Times New Roman" w:hAnsi="Arial" w:cs="Arial"/>
          <w:b/>
          <w:bCs/>
          <w:lang w:eastAsia="de-DE"/>
        </w:rPr>
        <w:t xml:space="preserve">, </w:t>
      </w:r>
      <w:r w:rsidR="005D79D6" w:rsidRPr="00181EEB">
        <w:rPr>
          <w:rFonts w:ascii="Arial" w:eastAsia="Times New Roman" w:hAnsi="Arial" w:cs="Arial"/>
          <w:b/>
          <w:bCs/>
          <w:lang w:eastAsia="de-DE"/>
        </w:rPr>
        <w:t>I</w:t>
      </w:r>
      <w:r w:rsidRPr="00181EEB">
        <w:rPr>
          <w:rFonts w:ascii="Arial" w:eastAsia="Times New Roman" w:hAnsi="Arial" w:cs="Arial"/>
          <w:b/>
          <w:bCs/>
          <w:lang w:eastAsia="de-DE"/>
        </w:rPr>
        <w:t>ris-Katharina Penner</w:t>
      </w:r>
      <w:proofErr w:type="gramStart"/>
      <w:r w:rsidR="00C64083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2,</w:t>
      </w:r>
      <w:r w:rsidRPr="00181EEB">
        <w:rPr>
          <w:rFonts w:ascii="Arial" w:eastAsia="Times New Roman" w:hAnsi="Arial" w:cs="Arial"/>
          <w:b/>
          <w:bCs/>
          <w:lang w:eastAsia="de-DE"/>
        </w:rPr>
        <w:t>,</w:t>
      </w:r>
      <w:proofErr w:type="gramEnd"/>
      <w:r w:rsidRPr="00181EEB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C64083" w:rsidRPr="00181EEB">
        <w:rPr>
          <w:rFonts w:ascii="Arial" w:eastAsia="Times New Roman" w:hAnsi="Arial" w:cs="Arial"/>
          <w:b/>
          <w:bCs/>
          <w:lang w:eastAsia="de-DE"/>
        </w:rPr>
        <w:t>Cornelia Cooper</w:t>
      </w:r>
      <w:r w:rsidR="00B15665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3</w:t>
      </w:r>
      <w:r w:rsidR="00F65E8B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*</w:t>
      </w:r>
      <w:r w:rsidR="00C64083" w:rsidRPr="00181EEB">
        <w:rPr>
          <w:rFonts w:ascii="Arial" w:eastAsia="Times New Roman" w:hAnsi="Arial" w:cs="Arial"/>
          <w:b/>
          <w:bCs/>
          <w:lang w:eastAsia="de-DE"/>
        </w:rPr>
        <w:t>,</w:t>
      </w:r>
      <w:r w:rsidR="00181EEB" w:rsidRPr="00181EEB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181EEB" w:rsidRPr="00181EEB">
        <w:rPr>
          <w:rFonts w:ascii="Arial" w:eastAsia="Times New Roman" w:hAnsi="Arial" w:cs="Arial"/>
          <w:b/>
          <w:bCs/>
          <w:u w:val="single"/>
          <w:lang w:eastAsia="de-DE"/>
        </w:rPr>
        <w:t>Tanja Maier</w:t>
      </w:r>
      <w:r w:rsidR="00181EEB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3</w:t>
      </w:r>
      <w:r w:rsidR="00181EEB">
        <w:rPr>
          <w:rFonts w:ascii="Arial" w:eastAsia="Times New Roman" w:hAnsi="Arial" w:cs="Arial"/>
          <w:b/>
          <w:bCs/>
          <w:lang w:eastAsia="de-DE"/>
        </w:rPr>
        <w:t>,</w:t>
      </w:r>
      <w:r w:rsidR="00C64083" w:rsidRPr="00181EEB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913739" w:rsidRPr="00181EEB">
        <w:rPr>
          <w:rFonts w:ascii="Arial" w:eastAsia="Times New Roman" w:hAnsi="Arial" w:cs="Arial"/>
          <w:b/>
          <w:bCs/>
          <w:lang w:eastAsia="de-DE"/>
        </w:rPr>
        <w:t>Stefanie Hieke-Schulz</w:t>
      </w:r>
      <w:r w:rsidR="00B15665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3</w:t>
      </w:r>
      <w:r w:rsidR="00913739" w:rsidRPr="00181EEB">
        <w:rPr>
          <w:rFonts w:ascii="Arial" w:eastAsia="Times New Roman" w:hAnsi="Arial" w:cs="Arial"/>
          <w:b/>
          <w:bCs/>
          <w:lang w:eastAsia="de-DE"/>
        </w:rPr>
        <w:t xml:space="preserve">, </w:t>
      </w:r>
      <w:r w:rsidR="00580225" w:rsidRPr="00181EEB">
        <w:rPr>
          <w:rFonts w:ascii="Arial" w:eastAsia="Times New Roman" w:hAnsi="Arial" w:cs="Arial"/>
          <w:b/>
          <w:bCs/>
          <w:lang w:eastAsia="de-DE"/>
        </w:rPr>
        <w:t>Jost Leemhuis</w:t>
      </w:r>
      <w:r w:rsidR="00B15665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3</w:t>
      </w:r>
      <w:r w:rsidR="00580225" w:rsidRPr="00181EEB">
        <w:rPr>
          <w:rFonts w:ascii="Arial" w:eastAsia="Times New Roman" w:hAnsi="Arial" w:cs="Arial"/>
          <w:b/>
          <w:bCs/>
          <w:lang w:eastAsia="de-DE"/>
        </w:rPr>
        <w:t xml:space="preserve">, </w:t>
      </w:r>
      <w:proofErr w:type="spellStart"/>
      <w:r w:rsidRPr="00181EEB">
        <w:rPr>
          <w:rFonts w:ascii="Arial" w:eastAsia="Times New Roman" w:hAnsi="Arial" w:cs="Arial"/>
          <w:b/>
          <w:bCs/>
          <w:lang w:eastAsia="de-DE"/>
        </w:rPr>
        <w:t>Tjalf</w:t>
      </w:r>
      <w:proofErr w:type="spellEnd"/>
      <w:r w:rsidRPr="00181EEB">
        <w:rPr>
          <w:rFonts w:ascii="Arial" w:eastAsia="Times New Roman" w:hAnsi="Arial" w:cs="Arial"/>
          <w:b/>
          <w:bCs/>
          <w:lang w:eastAsia="de-DE"/>
        </w:rPr>
        <w:t xml:space="preserve"> Ziemssen</w:t>
      </w:r>
      <w:r w:rsidR="00B15665" w:rsidRPr="00181EEB">
        <w:rPr>
          <w:rFonts w:ascii="Arial" w:eastAsia="Times New Roman" w:hAnsi="Arial" w:cs="Arial"/>
          <w:b/>
          <w:bCs/>
          <w:vertAlign w:val="superscript"/>
          <w:lang w:eastAsia="de-DE"/>
        </w:rPr>
        <w:t>4</w:t>
      </w:r>
    </w:p>
    <w:p w14:paraId="35CE0024" w14:textId="430BD84C" w:rsidR="00E3128D" w:rsidRPr="00181EEB" w:rsidRDefault="00E3128D" w:rsidP="00614D1E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i/>
          <w:iCs/>
          <w:lang w:eastAsia="de-DE"/>
        </w:rPr>
      </w:pPr>
      <w:r w:rsidRPr="00181EEB">
        <w:rPr>
          <w:rFonts w:ascii="Arial" w:eastAsia="Times New Roman" w:hAnsi="Arial" w:cs="Arial"/>
          <w:bCs/>
          <w:i/>
          <w:iCs/>
          <w:vertAlign w:val="superscript"/>
          <w:lang w:eastAsia="de-DE"/>
        </w:rPr>
        <w:t>1</w:t>
      </w:r>
      <w:r w:rsidRPr="00181EEB">
        <w:rPr>
          <w:rFonts w:ascii="Arial" w:eastAsia="Times New Roman" w:hAnsi="Arial" w:cs="Arial"/>
          <w:bCs/>
          <w:i/>
          <w:iCs/>
          <w:lang w:eastAsia="de-DE"/>
        </w:rPr>
        <w:t>Neurologische Gemeinschaftspraxis &amp; Neuropo</w:t>
      </w:r>
      <w:r w:rsidR="005D79D6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int Akademie, Ulm, Deutschland; </w:t>
      </w:r>
      <w:r w:rsidR="00B15665" w:rsidRPr="00181EEB">
        <w:rPr>
          <w:rFonts w:ascii="Arial" w:eastAsia="Times New Roman" w:hAnsi="Arial" w:cs="Arial"/>
          <w:bCs/>
          <w:i/>
          <w:iCs/>
          <w:vertAlign w:val="superscript"/>
          <w:lang w:eastAsia="de-DE"/>
        </w:rPr>
        <w:t>2</w:t>
      </w:r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Department </w:t>
      </w:r>
      <w:proofErr w:type="spellStart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>of</w:t>
      </w:r>
      <w:proofErr w:type="spellEnd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 </w:t>
      </w:r>
      <w:proofErr w:type="spellStart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>Neurology</w:t>
      </w:r>
      <w:proofErr w:type="spellEnd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, Inselspital, Bern University Hospital, University </w:t>
      </w:r>
      <w:proofErr w:type="spellStart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>of</w:t>
      </w:r>
      <w:proofErr w:type="spellEnd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 Bern, </w:t>
      </w:r>
      <w:proofErr w:type="spellStart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>Switzerland</w:t>
      </w:r>
      <w:proofErr w:type="spellEnd"/>
      <w:r w:rsidR="00B15665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; </w:t>
      </w:r>
      <w:r w:rsidR="00B15665" w:rsidRPr="00181EEB">
        <w:rPr>
          <w:rFonts w:ascii="Arial" w:eastAsia="Times New Roman" w:hAnsi="Arial" w:cs="Arial"/>
          <w:bCs/>
          <w:i/>
          <w:iCs/>
          <w:vertAlign w:val="superscript"/>
          <w:lang w:eastAsia="de-DE"/>
        </w:rPr>
        <w:t>3</w:t>
      </w:r>
      <w:r w:rsidR="00C64083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Roche </w:t>
      </w:r>
      <w:proofErr w:type="spellStart"/>
      <w:r w:rsidR="00C64083" w:rsidRPr="00181EEB">
        <w:rPr>
          <w:rFonts w:ascii="Arial" w:eastAsia="Times New Roman" w:hAnsi="Arial" w:cs="Arial"/>
          <w:bCs/>
          <w:i/>
          <w:iCs/>
          <w:lang w:eastAsia="de-DE"/>
        </w:rPr>
        <w:t>Pharma</w:t>
      </w:r>
      <w:proofErr w:type="spellEnd"/>
      <w:r w:rsidR="00C64083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 AG, </w:t>
      </w:r>
      <w:proofErr w:type="spellStart"/>
      <w:r w:rsidR="00C64083" w:rsidRPr="00181EEB">
        <w:rPr>
          <w:rFonts w:ascii="Arial" w:eastAsia="Times New Roman" w:hAnsi="Arial" w:cs="Arial"/>
          <w:bCs/>
          <w:i/>
          <w:iCs/>
          <w:lang w:eastAsia="de-DE"/>
        </w:rPr>
        <w:t>Grenzach-Wyhlen</w:t>
      </w:r>
      <w:proofErr w:type="spellEnd"/>
      <w:r w:rsidR="00C64083" w:rsidRPr="00181EEB">
        <w:rPr>
          <w:rFonts w:ascii="Arial" w:eastAsia="Times New Roman" w:hAnsi="Arial" w:cs="Arial"/>
          <w:bCs/>
          <w:i/>
          <w:iCs/>
          <w:lang w:eastAsia="de-DE"/>
        </w:rPr>
        <w:t xml:space="preserve">, Deutschland; </w:t>
      </w:r>
      <w:r w:rsidR="00B15665" w:rsidRPr="00181EEB">
        <w:rPr>
          <w:rFonts w:ascii="Arial" w:eastAsia="Times New Roman" w:hAnsi="Arial" w:cs="Arial"/>
          <w:bCs/>
          <w:i/>
          <w:iCs/>
          <w:vertAlign w:val="superscript"/>
          <w:lang w:eastAsia="de-DE"/>
        </w:rPr>
        <w:t>4</w:t>
      </w:r>
      <w:r w:rsidRPr="00181EEB">
        <w:rPr>
          <w:rFonts w:ascii="Arial" w:eastAsia="Times New Roman" w:hAnsi="Arial" w:cs="Arial"/>
          <w:bCs/>
          <w:i/>
          <w:iCs/>
          <w:lang w:eastAsia="de-DE"/>
        </w:rPr>
        <w:t>Klinik und Poliklinik für Neurologie, Universitätsklinikum Carl Gustav Carus, Dresden, Deutschland</w:t>
      </w:r>
    </w:p>
    <w:p w14:paraId="77E3D8D9" w14:textId="7AC6E362" w:rsidR="005D79D6" w:rsidRDefault="00F65E8B" w:rsidP="00614D1E">
      <w:pPr>
        <w:spacing w:line="360" w:lineRule="auto"/>
        <w:rPr>
          <w:rFonts w:ascii="Arial" w:hAnsi="Arial" w:cs="Arial"/>
          <w:lang w:val="en-GB" w:eastAsia="de-DE"/>
        </w:rPr>
      </w:pPr>
      <w:r>
        <w:rPr>
          <w:rFonts w:ascii="Arial" w:hAnsi="Arial" w:cs="Arial"/>
          <w:lang w:val="en-GB" w:eastAsia="de-DE"/>
        </w:rPr>
        <w:t>*Presenting author</w:t>
      </w:r>
    </w:p>
    <w:p w14:paraId="0BB2C6AE" w14:textId="77777777" w:rsidR="00F65E8B" w:rsidRPr="00A11E3E" w:rsidRDefault="00F65E8B" w:rsidP="00614D1E">
      <w:pPr>
        <w:spacing w:line="360" w:lineRule="auto"/>
        <w:rPr>
          <w:rFonts w:ascii="Arial" w:hAnsi="Arial" w:cs="Arial"/>
          <w:lang w:val="en-GB" w:eastAsia="de-DE"/>
        </w:rPr>
      </w:pPr>
    </w:p>
    <w:p w14:paraId="3F0B90A1" w14:textId="11A947F4" w:rsidR="007C5B0F" w:rsidRPr="00A11E3E" w:rsidRDefault="007C5B0F" w:rsidP="00614D1E">
      <w:pPr>
        <w:spacing w:line="360" w:lineRule="auto"/>
        <w:rPr>
          <w:rFonts w:ascii="Arial" w:hAnsi="Arial" w:cs="Arial"/>
          <w:b/>
          <w:lang w:val="en-GB" w:eastAsia="de-DE"/>
        </w:rPr>
      </w:pPr>
      <w:r w:rsidRPr="00A11E3E">
        <w:rPr>
          <w:rFonts w:ascii="Arial" w:hAnsi="Arial" w:cs="Arial"/>
          <w:b/>
          <w:lang w:val="en-GB" w:eastAsia="de-DE"/>
        </w:rPr>
        <w:t>Background</w:t>
      </w:r>
      <w:r w:rsidR="00463BA2" w:rsidRPr="00A11E3E">
        <w:rPr>
          <w:rFonts w:ascii="Arial" w:hAnsi="Arial" w:cs="Arial"/>
          <w:b/>
          <w:lang w:val="en-GB" w:eastAsia="de-DE"/>
        </w:rPr>
        <w:t>:</w:t>
      </w:r>
    </w:p>
    <w:p w14:paraId="3B806F95" w14:textId="572CB82B" w:rsidR="00721833" w:rsidRPr="00A11E3E" w:rsidRDefault="00673643" w:rsidP="00614D1E">
      <w:pPr>
        <w:spacing w:line="360" w:lineRule="auto"/>
        <w:rPr>
          <w:rFonts w:ascii="Arial" w:eastAsia="Times New Roman" w:hAnsi="Arial" w:cs="Arial"/>
          <w:b/>
          <w:color w:val="000000" w:themeColor="text1"/>
          <w:lang w:val="en-GB"/>
        </w:rPr>
      </w:pPr>
      <w:r w:rsidRPr="00A11E3E">
        <w:rPr>
          <w:rFonts w:ascii="Arial" w:hAnsi="Arial" w:cs="Arial"/>
          <w:lang w:val="en-GB"/>
        </w:rPr>
        <w:t>Prior to</w:t>
      </w:r>
      <w:r w:rsidR="006D0516" w:rsidRPr="00A11E3E">
        <w:rPr>
          <w:rFonts w:ascii="Arial" w:hAnsi="Arial" w:cs="Arial"/>
          <w:lang w:val="en-GB"/>
        </w:rPr>
        <w:t xml:space="preserve"> </w:t>
      </w:r>
      <w:r w:rsidR="000833CC" w:rsidRPr="00A11E3E">
        <w:rPr>
          <w:rFonts w:ascii="Arial" w:hAnsi="Arial" w:cs="Arial"/>
          <w:lang w:val="en-GB"/>
        </w:rPr>
        <w:t>the</w:t>
      </w:r>
      <w:r w:rsidR="00E3128D" w:rsidRPr="00A11E3E">
        <w:rPr>
          <w:rFonts w:ascii="Arial" w:hAnsi="Arial" w:cs="Arial"/>
          <w:lang w:val="en-GB"/>
        </w:rPr>
        <w:t xml:space="preserve"> </w:t>
      </w:r>
      <w:r w:rsidR="00952058">
        <w:rPr>
          <w:rFonts w:ascii="Arial" w:hAnsi="Arial" w:cs="Arial"/>
          <w:lang w:val="en-GB"/>
        </w:rPr>
        <w:t>availability</w:t>
      </w:r>
      <w:r w:rsidR="006F40AF" w:rsidRPr="00A11E3E">
        <w:rPr>
          <w:rFonts w:ascii="Arial" w:hAnsi="Arial" w:cs="Arial"/>
          <w:lang w:val="en-GB"/>
        </w:rPr>
        <w:t xml:space="preserve"> </w:t>
      </w:r>
      <w:r w:rsidRPr="00A11E3E">
        <w:rPr>
          <w:rFonts w:ascii="Arial" w:hAnsi="Arial" w:cs="Arial"/>
          <w:lang w:val="en-GB"/>
        </w:rPr>
        <w:t xml:space="preserve">of </w:t>
      </w:r>
      <w:r w:rsidR="0017724E" w:rsidRPr="00A11E3E">
        <w:rPr>
          <w:rFonts w:ascii="Arial" w:hAnsi="Arial" w:cs="Arial"/>
          <w:lang w:val="en-GB"/>
        </w:rPr>
        <w:t>ocrelizumab</w:t>
      </w:r>
      <w:r w:rsidR="00DE0831" w:rsidRPr="00A11E3E">
        <w:rPr>
          <w:rFonts w:ascii="Arial" w:hAnsi="Arial" w:cs="Arial"/>
          <w:lang w:val="en-GB"/>
        </w:rPr>
        <w:t xml:space="preserve"> </w:t>
      </w:r>
      <w:r w:rsidR="00E3128D" w:rsidRPr="00A11E3E">
        <w:rPr>
          <w:rFonts w:ascii="Arial" w:hAnsi="Arial" w:cs="Arial"/>
          <w:lang w:val="en-GB"/>
        </w:rPr>
        <w:t xml:space="preserve">as the first </w:t>
      </w:r>
      <w:r w:rsidR="00E3128D" w:rsidRPr="00A11E3E">
        <w:rPr>
          <w:rFonts w:ascii="Arial" w:eastAsia="MS PGothic" w:hAnsi="Arial" w:cs="Arial"/>
          <w:lang w:val="en-GB"/>
        </w:rPr>
        <w:t>disease-modifying</w:t>
      </w:r>
      <w:r w:rsidR="00E3128D" w:rsidRPr="00A11E3E">
        <w:rPr>
          <w:rFonts w:ascii="Arial" w:hAnsi="Arial" w:cs="Arial"/>
          <w:lang w:val="en-GB"/>
        </w:rPr>
        <w:t xml:space="preserve"> treatment (DMT) for </w:t>
      </w:r>
      <w:r w:rsidR="00DE0831" w:rsidRPr="00A11E3E">
        <w:rPr>
          <w:rFonts w:ascii="Arial" w:hAnsi="Arial" w:cs="Arial"/>
          <w:lang w:val="en-GB"/>
        </w:rPr>
        <w:t>primary progressive multiple sclerosis (</w:t>
      </w:r>
      <w:r w:rsidR="00E3128D" w:rsidRPr="00A11E3E">
        <w:rPr>
          <w:rFonts w:ascii="Arial" w:hAnsi="Arial" w:cs="Arial"/>
          <w:lang w:val="en-GB"/>
        </w:rPr>
        <w:t>PPMS</w:t>
      </w:r>
      <w:r w:rsidR="00DE0831" w:rsidRPr="00A11E3E">
        <w:rPr>
          <w:rFonts w:ascii="Arial" w:hAnsi="Arial" w:cs="Arial"/>
          <w:lang w:val="en-GB"/>
        </w:rPr>
        <w:t>)</w:t>
      </w:r>
      <w:r w:rsidR="00E3128D" w:rsidRPr="00A11E3E">
        <w:rPr>
          <w:rFonts w:ascii="Arial" w:hAnsi="Arial" w:cs="Arial"/>
          <w:lang w:val="en-GB"/>
        </w:rPr>
        <w:t xml:space="preserve"> in </w:t>
      </w:r>
      <w:r w:rsidR="00952058">
        <w:rPr>
          <w:rFonts w:ascii="Arial" w:hAnsi="Arial" w:cs="Arial"/>
          <w:lang w:val="en-GB"/>
        </w:rPr>
        <w:t>Europe</w:t>
      </w:r>
      <w:r w:rsidR="00E3128D" w:rsidRPr="00A11E3E">
        <w:rPr>
          <w:rFonts w:ascii="Arial" w:hAnsi="Arial" w:cs="Arial"/>
          <w:lang w:val="en-GB"/>
        </w:rPr>
        <w:t xml:space="preserve">, </w:t>
      </w:r>
      <w:r w:rsidR="00E807F4" w:rsidRPr="00A11E3E">
        <w:rPr>
          <w:rFonts w:ascii="Arial" w:eastAsia="MS PGothic" w:hAnsi="Arial" w:cs="Arial"/>
          <w:lang w:val="en-GB"/>
        </w:rPr>
        <w:t>management focu</w:t>
      </w:r>
      <w:r w:rsidR="00EE4EED" w:rsidRPr="00A11E3E">
        <w:rPr>
          <w:rFonts w:ascii="Arial" w:eastAsia="MS PGothic" w:hAnsi="Arial" w:cs="Arial"/>
          <w:lang w:val="en-GB"/>
        </w:rPr>
        <w:t>s</w:t>
      </w:r>
      <w:r w:rsidR="004F153E" w:rsidRPr="00A11E3E">
        <w:rPr>
          <w:rFonts w:ascii="Arial" w:eastAsia="MS PGothic" w:hAnsi="Arial" w:cs="Arial"/>
          <w:lang w:val="en-GB"/>
        </w:rPr>
        <w:t>e</w:t>
      </w:r>
      <w:r w:rsidR="00E3128D" w:rsidRPr="00A11E3E">
        <w:rPr>
          <w:rFonts w:ascii="Arial" w:eastAsia="MS PGothic" w:hAnsi="Arial" w:cs="Arial"/>
          <w:lang w:val="en-GB"/>
        </w:rPr>
        <w:t>d</w:t>
      </w:r>
      <w:r w:rsidR="007C5B0F" w:rsidRPr="00A11E3E">
        <w:rPr>
          <w:rFonts w:ascii="Arial" w:eastAsia="MS PGothic" w:hAnsi="Arial" w:cs="Arial"/>
          <w:lang w:val="en-GB"/>
        </w:rPr>
        <w:t xml:space="preserve"> on symptomatic treatment and </w:t>
      </w:r>
      <w:r w:rsidR="00117CAD" w:rsidRPr="00A11E3E">
        <w:rPr>
          <w:rFonts w:ascii="Arial" w:eastAsia="MS PGothic" w:hAnsi="Arial" w:cs="Arial"/>
          <w:lang w:val="en-GB"/>
        </w:rPr>
        <w:t>no</w:t>
      </w:r>
      <w:r w:rsidR="00826BC3" w:rsidRPr="00A11E3E">
        <w:rPr>
          <w:rFonts w:ascii="Arial" w:eastAsia="MS PGothic" w:hAnsi="Arial" w:cs="Arial"/>
          <w:lang w:val="en-GB"/>
        </w:rPr>
        <w:t>n</w:t>
      </w:r>
      <w:r w:rsidR="00C12917" w:rsidRPr="00A11E3E">
        <w:rPr>
          <w:rFonts w:ascii="Arial" w:eastAsia="MS PGothic" w:hAnsi="Arial" w:cs="Arial"/>
          <w:lang w:val="en-GB"/>
        </w:rPr>
        <w:t xml:space="preserve">-evidence-based </w:t>
      </w:r>
      <w:r w:rsidR="007C5B0F" w:rsidRPr="00A11E3E">
        <w:rPr>
          <w:rFonts w:ascii="Arial" w:eastAsia="MS PGothic" w:hAnsi="Arial" w:cs="Arial"/>
          <w:lang w:val="en-GB"/>
        </w:rPr>
        <w:t xml:space="preserve">use </w:t>
      </w:r>
      <w:r w:rsidR="00E3128D" w:rsidRPr="00A11E3E">
        <w:rPr>
          <w:rFonts w:ascii="Arial" w:eastAsia="MS PGothic" w:hAnsi="Arial" w:cs="Arial"/>
          <w:lang w:val="en-GB"/>
        </w:rPr>
        <w:t>of DMTs</w:t>
      </w:r>
      <w:r w:rsidR="007C5B0F" w:rsidRPr="00A11E3E">
        <w:rPr>
          <w:rFonts w:ascii="Arial" w:eastAsia="MS PGothic" w:hAnsi="Arial" w:cs="Arial"/>
          <w:lang w:val="en-GB"/>
        </w:rPr>
        <w:t>.</w:t>
      </w:r>
    </w:p>
    <w:p w14:paraId="678EAF36" w14:textId="0184244B" w:rsidR="00060CA6" w:rsidRPr="00A11E3E" w:rsidRDefault="00463BA2" w:rsidP="00614D1E">
      <w:pPr>
        <w:spacing w:line="360" w:lineRule="auto"/>
        <w:rPr>
          <w:rFonts w:ascii="Arial" w:eastAsia="MS PGothic" w:hAnsi="Arial" w:cs="Arial"/>
          <w:lang w:val="en-GB"/>
        </w:rPr>
      </w:pPr>
      <w:r w:rsidRPr="00A11E3E">
        <w:rPr>
          <w:rFonts w:ascii="Arial" w:eastAsia="Times New Roman" w:hAnsi="Arial" w:cs="Arial"/>
          <w:b/>
          <w:color w:val="000000" w:themeColor="text1"/>
          <w:lang w:val="en-GB"/>
        </w:rPr>
        <w:t xml:space="preserve">Objectives: </w:t>
      </w:r>
      <w:r w:rsidR="004A0DB8" w:rsidRPr="00A11E3E">
        <w:rPr>
          <w:rFonts w:ascii="Arial" w:eastAsia="MS PGothic" w:hAnsi="Arial" w:cs="Arial"/>
          <w:color w:val="000000" w:themeColor="text1"/>
          <w:lang w:val="en-GB"/>
        </w:rPr>
        <w:t>RETRO PPMS</w:t>
      </w:r>
      <w:r w:rsidR="004A0DB8" w:rsidRPr="00A11E3E">
        <w:rPr>
          <w:rFonts w:ascii="Arial" w:hAnsi="Arial" w:cs="Arial"/>
          <w:color w:val="000000" w:themeColor="text1"/>
          <w:lang w:val="en-GB"/>
        </w:rPr>
        <w:t xml:space="preserve"> (ML39631) </w:t>
      </w:r>
      <w:r w:rsidR="00DE0831" w:rsidRPr="00A11E3E">
        <w:rPr>
          <w:rFonts w:ascii="Arial" w:hAnsi="Arial" w:cs="Arial"/>
          <w:color w:val="000000" w:themeColor="text1"/>
          <w:lang w:val="en-GB"/>
        </w:rPr>
        <w:t>r</w:t>
      </w:r>
      <w:r w:rsidR="004A0DB8" w:rsidRPr="00A11E3E">
        <w:rPr>
          <w:rFonts w:ascii="Arial" w:eastAsia="MS PGothic" w:hAnsi="Arial" w:cs="Arial"/>
          <w:color w:val="000000" w:themeColor="text1"/>
          <w:lang w:val="en-GB"/>
        </w:rPr>
        <w:t>etrospective</w:t>
      </w:r>
      <w:r w:rsidR="00DE0831" w:rsidRPr="00A11E3E">
        <w:rPr>
          <w:rFonts w:ascii="Arial" w:eastAsia="MS PGothic" w:hAnsi="Arial" w:cs="Arial"/>
          <w:color w:val="000000" w:themeColor="text1"/>
          <w:lang w:val="en-GB"/>
        </w:rPr>
        <w:t xml:space="preserve">ly </w:t>
      </w:r>
      <w:r w:rsidR="004A0DB8" w:rsidRPr="00A11E3E">
        <w:rPr>
          <w:rFonts w:ascii="Arial" w:eastAsia="MS PGothic" w:hAnsi="Arial" w:cs="Arial"/>
          <w:color w:val="000000" w:themeColor="text1"/>
          <w:lang w:val="en-GB"/>
        </w:rPr>
        <w:t>investig</w:t>
      </w:r>
      <w:r w:rsidR="00DE0831" w:rsidRPr="00A11E3E">
        <w:rPr>
          <w:rFonts w:ascii="Arial" w:eastAsia="MS PGothic" w:hAnsi="Arial" w:cs="Arial"/>
          <w:color w:val="000000" w:themeColor="text1"/>
          <w:lang w:val="en-GB"/>
        </w:rPr>
        <w:t>ated</w:t>
      </w:r>
      <w:r w:rsidR="004A0DB8" w:rsidRPr="00A11E3E">
        <w:rPr>
          <w:rFonts w:ascii="Arial" w:eastAsia="MS PGothic" w:hAnsi="Arial" w:cs="Arial"/>
          <w:color w:val="000000" w:themeColor="text1"/>
          <w:lang w:val="en-GB"/>
        </w:rPr>
        <w:t xml:space="preserve"> </w:t>
      </w:r>
      <w:r w:rsidR="0089359F" w:rsidRPr="00A11E3E">
        <w:rPr>
          <w:rFonts w:ascii="Arial" w:eastAsia="MS PGothic" w:hAnsi="Arial" w:cs="Arial"/>
          <w:color w:val="000000" w:themeColor="text1"/>
          <w:lang w:val="en-GB"/>
        </w:rPr>
        <w:t xml:space="preserve">best supportive care </w:t>
      </w:r>
      <w:r w:rsidR="00614D1E">
        <w:rPr>
          <w:rFonts w:ascii="Arial" w:eastAsia="MS PGothic" w:hAnsi="Arial" w:cs="Arial"/>
          <w:color w:val="000000" w:themeColor="text1"/>
          <w:lang w:val="en-GB"/>
        </w:rPr>
        <w:t xml:space="preserve">(BSC) </w:t>
      </w:r>
      <w:r w:rsidR="0089359F" w:rsidRPr="00A11E3E">
        <w:rPr>
          <w:rFonts w:ascii="Arial" w:eastAsia="MS PGothic" w:hAnsi="Arial" w:cs="Arial"/>
          <w:color w:val="000000" w:themeColor="text1"/>
          <w:lang w:val="en-GB"/>
        </w:rPr>
        <w:t xml:space="preserve">in </w:t>
      </w:r>
      <w:r w:rsidR="004A0DB8" w:rsidRPr="00A11E3E">
        <w:rPr>
          <w:rFonts w:ascii="Arial" w:eastAsia="MS PGothic" w:hAnsi="Arial" w:cs="Arial"/>
          <w:color w:val="000000" w:themeColor="text1"/>
          <w:lang w:val="en-GB"/>
        </w:rPr>
        <w:t xml:space="preserve">clinical practice in patients with PPMS in Germany. </w:t>
      </w:r>
    </w:p>
    <w:p w14:paraId="2B54DB09" w14:textId="483AA46D" w:rsidR="00682826" w:rsidRPr="00A11E3E" w:rsidRDefault="007C5B0F" w:rsidP="00614D1E">
      <w:pPr>
        <w:pStyle w:val="FarbigeListe-Akzent11"/>
        <w:spacing w:before="60" w:line="360" w:lineRule="auto"/>
        <w:ind w:left="0"/>
        <w:contextualSpacing w:val="0"/>
        <w:rPr>
          <w:rFonts w:ascii="Arial" w:eastAsia="MS PGothic" w:hAnsi="Arial" w:cs="Arial"/>
          <w:lang w:val="en-GB"/>
        </w:rPr>
      </w:pPr>
      <w:r w:rsidRPr="00A11E3E">
        <w:rPr>
          <w:rFonts w:ascii="Arial" w:hAnsi="Arial" w:cs="Arial"/>
          <w:b/>
          <w:color w:val="000000" w:themeColor="text1"/>
          <w:szCs w:val="24"/>
          <w:lang w:val="en-GB"/>
        </w:rPr>
        <w:t>Methods</w:t>
      </w:r>
      <w:r w:rsidR="00463BA2" w:rsidRPr="00A11E3E">
        <w:rPr>
          <w:rFonts w:ascii="Arial" w:hAnsi="Arial" w:cs="Arial"/>
          <w:b/>
          <w:color w:val="000000" w:themeColor="text1"/>
          <w:szCs w:val="24"/>
          <w:lang w:val="en-GB"/>
        </w:rPr>
        <w:t>:</w:t>
      </w:r>
      <w:r w:rsidR="005969BC" w:rsidRPr="00A11E3E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RETRO PPMS </w:t>
      </w:r>
      <w:r w:rsidR="003D37ED" w:rsidRPr="00A11E3E">
        <w:rPr>
          <w:rFonts w:ascii="Arial" w:hAnsi="Arial" w:cs="Arial"/>
          <w:color w:val="000000" w:themeColor="text1"/>
          <w:szCs w:val="24"/>
          <w:lang w:val="en-GB"/>
        </w:rPr>
        <w:t>was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a multicent</w:t>
      </w:r>
      <w:r w:rsidR="003D37ED" w:rsidRPr="00A11E3E">
        <w:rPr>
          <w:rFonts w:ascii="Arial" w:hAnsi="Arial" w:cs="Arial"/>
          <w:color w:val="000000" w:themeColor="text1"/>
          <w:szCs w:val="24"/>
          <w:lang w:val="en-GB"/>
        </w:rPr>
        <w:t>re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, secondary data use, </w:t>
      </w:r>
      <w:r w:rsidR="00D45F92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retrospective, </w:t>
      </w:r>
      <w:r w:rsidR="002C2B0F" w:rsidRPr="00A11E3E">
        <w:rPr>
          <w:rFonts w:ascii="Arial" w:hAnsi="Arial" w:cs="Arial"/>
          <w:color w:val="000000" w:themeColor="text1"/>
          <w:szCs w:val="24"/>
          <w:lang w:val="en-GB"/>
        </w:rPr>
        <w:t>non-interventional study</w:t>
      </w:r>
      <w:r w:rsidR="005969BC" w:rsidRPr="00A11E3E">
        <w:rPr>
          <w:rFonts w:ascii="Arial" w:hAnsi="Arial" w:cs="Arial"/>
          <w:color w:val="000000" w:themeColor="text1"/>
          <w:szCs w:val="24"/>
          <w:lang w:val="en-GB"/>
        </w:rPr>
        <w:t>.</w:t>
      </w:r>
      <w:r w:rsidR="00D57208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Adults with</w:t>
      </w:r>
      <w:r w:rsidR="008E7BF6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5A2FC9" w:rsidRPr="00A11E3E">
        <w:rPr>
          <w:rFonts w:ascii="Arial" w:eastAsia="MS PGothic" w:hAnsi="Arial" w:cs="Arial"/>
          <w:color w:val="000000" w:themeColor="text1"/>
          <w:szCs w:val="24"/>
          <w:lang w:val="en-GB"/>
        </w:rPr>
        <w:t>PPMS according to McDonald 2010 criteria</w:t>
      </w:r>
      <w:r w:rsidR="008E7BF6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D57208" w:rsidRPr="00A11E3E">
        <w:rPr>
          <w:rFonts w:ascii="Arial" w:hAnsi="Arial" w:cs="Arial"/>
          <w:color w:val="000000" w:themeColor="text1"/>
          <w:szCs w:val="24"/>
          <w:lang w:val="en-GB"/>
        </w:rPr>
        <w:t>were</w:t>
      </w:r>
      <w:r w:rsidR="00020D18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included</w:t>
      </w:r>
      <w:r w:rsidR="00EE4EED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. </w:t>
      </w:r>
      <w:r w:rsidR="00952058">
        <w:rPr>
          <w:rFonts w:ascii="Arial" w:hAnsi="Arial" w:cs="Arial"/>
          <w:lang w:val="en-GB"/>
        </w:rPr>
        <w:t>Retrospective</w:t>
      </w:r>
      <w:r w:rsidR="00224063" w:rsidRPr="00A11E3E">
        <w:rPr>
          <w:rFonts w:ascii="Arial" w:hAnsi="Arial" w:cs="Arial"/>
          <w:lang w:val="en-GB"/>
        </w:rPr>
        <w:t xml:space="preserve"> d</w:t>
      </w:r>
      <w:r w:rsidR="00812895" w:rsidRPr="00A11E3E">
        <w:rPr>
          <w:rFonts w:ascii="Arial" w:hAnsi="Arial" w:cs="Arial"/>
          <w:lang w:val="en-GB"/>
        </w:rPr>
        <w:t xml:space="preserve">ata </w:t>
      </w:r>
      <w:r w:rsidR="00952058">
        <w:rPr>
          <w:rFonts w:ascii="Arial" w:hAnsi="Arial" w:cs="Arial"/>
          <w:lang w:val="en-GB"/>
        </w:rPr>
        <w:t xml:space="preserve">collection started on July 19, </w:t>
      </w:r>
      <w:r w:rsidR="00614D1E">
        <w:rPr>
          <w:rFonts w:ascii="Arial" w:hAnsi="Arial" w:cs="Arial"/>
          <w:lang w:val="en-GB"/>
        </w:rPr>
        <w:t>2018</w:t>
      </w:r>
      <w:r w:rsidR="00DE0831" w:rsidRPr="00A11E3E">
        <w:rPr>
          <w:rFonts w:ascii="Arial" w:hAnsi="Arial" w:cs="Arial"/>
          <w:lang w:val="en-GB"/>
        </w:rPr>
        <w:t>.</w:t>
      </w:r>
      <w:r w:rsidR="00DC2DB3" w:rsidRPr="00A11E3E">
        <w:rPr>
          <w:rFonts w:ascii="Arial" w:hAnsi="Arial" w:cs="Arial"/>
          <w:lang w:val="en-GB"/>
        </w:rPr>
        <w:t xml:space="preserve"> </w:t>
      </w:r>
      <w:r w:rsidR="005979C9" w:rsidRPr="00A11E3E">
        <w:rPr>
          <w:rFonts w:ascii="Arial" w:hAnsi="Arial" w:cs="Arial"/>
          <w:lang w:val="en-GB"/>
        </w:rPr>
        <w:t>M</w:t>
      </w:r>
      <w:r w:rsidRPr="00A11E3E">
        <w:rPr>
          <w:rFonts w:ascii="Arial" w:hAnsi="Arial" w:cs="Arial"/>
          <w:lang w:val="en-GB"/>
        </w:rPr>
        <w:t>edical history, disease status and treatmen</w:t>
      </w:r>
      <w:r w:rsidR="00EE4EED" w:rsidRPr="00A11E3E">
        <w:rPr>
          <w:rFonts w:ascii="Arial" w:hAnsi="Arial" w:cs="Arial"/>
          <w:lang w:val="en-GB"/>
        </w:rPr>
        <w:t>t</w:t>
      </w:r>
      <w:r w:rsidRPr="00A11E3E">
        <w:rPr>
          <w:rFonts w:ascii="Arial" w:hAnsi="Arial" w:cs="Arial"/>
          <w:lang w:val="en-GB"/>
        </w:rPr>
        <w:t xml:space="preserve">s </w:t>
      </w:r>
      <w:r w:rsidR="005969BC" w:rsidRPr="00A11E3E">
        <w:rPr>
          <w:rFonts w:ascii="Arial" w:hAnsi="Arial" w:cs="Arial"/>
          <w:lang w:val="en-GB"/>
        </w:rPr>
        <w:t>we</w:t>
      </w:r>
      <w:r w:rsidR="00EE4EED" w:rsidRPr="00A11E3E">
        <w:rPr>
          <w:rFonts w:ascii="Arial" w:hAnsi="Arial" w:cs="Arial"/>
          <w:lang w:val="en-GB"/>
        </w:rPr>
        <w:t>re</w:t>
      </w:r>
      <w:r w:rsidRPr="00A11E3E">
        <w:rPr>
          <w:rFonts w:ascii="Arial" w:hAnsi="Arial" w:cs="Arial"/>
          <w:lang w:val="en-GB"/>
        </w:rPr>
        <w:t xml:space="preserve"> </w:t>
      </w:r>
      <w:r w:rsidR="00D67732" w:rsidRPr="00A11E3E">
        <w:rPr>
          <w:rFonts w:ascii="Arial" w:hAnsi="Arial" w:cs="Arial"/>
          <w:lang w:val="en-GB"/>
        </w:rPr>
        <w:t>assessed</w:t>
      </w:r>
      <w:r w:rsidRPr="00A11E3E">
        <w:rPr>
          <w:rFonts w:ascii="Arial" w:hAnsi="Arial" w:cs="Arial"/>
          <w:lang w:val="en-GB"/>
        </w:rPr>
        <w:t xml:space="preserve"> </w:t>
      </w:r>
      <w:r w:rsidR="00EE4EED" w:rsidRPr="00A11E3E">
        <w:rPr>
          <w:rFonts w:ascii="Arial" w:hAnsi="Arial" w:cs="Arial"/>
          <w:lang w:val="en-GB"/>
        </w:rPr>
        <w:t xml:space="preserve">from </w:t>
      </w:r>
      <w:r w:rsidR="00F14442" w:rsidRPr="00A11E3E">
        <w:rPr>
          <w:rFonts w:ascii="Arial" w:hAnsi="Arial" w:cs="Arial"/>
          <w:lang w:val="en-GB"/>
        </w:rPr>
        <w:t>12</w:t>
      </w:r>
      <w:r w:rsidR="00CB5037" w:rsidRPr="00A11E3E">
        <w:rPr>
          <w:rFonts w:ascii="Arial" w:hAnsi="Arial" w:cs="Arial"/>
          <w:lang w:val="en-GB"/>
        </w:rPr>
        <w:t>-</w:t>
      </w:r>
      <w:r w:rsidR="00F14442" w:rsidRPr="00A11E3E">
        <w:rPr>
          <w:rFonts w:ascii="Arial" w:hAnsi="Arial" w:cs="Arial"/>
          <w:lang w:val="en-GB"/>
        </w:rPr>
        <w:t>month</w:t>
      </w:r>
      <w:r w:rsidR="00CB5037" w:rsidRPr="00A11E3E">
        <w:rPr>
          <w:rFonts w:ascii="Arial" w:hAnsi="Arial" w:cs="Arial"/>
          <w:lang w:val="en-GB"/>
        </w:rPr>
        <w:t xml:space="preserve"> </w:t>
      </w:r>
      <w:r w:rsidR="00117CAD" w:rsidRPr="00A11E3E">
        <w:rPr>
          <w:rFonts w:ascii="Arial" w:hAnsi="Arial" w:cs="Arial"/>
          <w:lang w:val="en-GB"/>
        </w:rPr>
        <w:t>periods</w:t>
      </w:r>
      <w:r w:rsidR="00F14442" w:rsidRPr="00A11E3E">
        <w:rPr>
          <w:rFonts w:ascii="Arial" w:hAnsi="Arial" w:cs="Arial"/>
          <w:lang w:val="en-GB"/>
        </w:rPr>
        <w:t xml:space="preserve"> prior to </w:t>
      </w:r>
      <w:r w:rsidR="00EE4EED" w:rsidRPr="00A11E3E">
        <w:rPr>
          <w:rFonts w:ascii="Arial" w:hAnsi="Arial" w:cs="Arial"/>
          <w:lang w:val="en-GB"/>
        </w:rPr>
        <w:t>PPMS diagnosis</w:t>
      </w:r>
      <w:r w:rsidR="005979C9" w:rsidRPr="00A11E3E">
        <w:rPr>
          <w:rFonts w:ascii="Arial" w:hAnsi="Arial" w:cs="Arial"/>
          <w:lang w:val="en-GB"/>
        </w:rPr>
        <w:t>.</w:t>
      </w:r>
      <w:r w:rsidR="00224063" w:rsidRPr="00A11E3E">
        <w:rPr>
          <w:rFonts w:ascii="Arial" w:hAnsi="Arial" w:cs="Arial"/>
          <w:lang w:val="en-GB"/>
        </w:rPr>
        <w:t xml:space="preserve"> </w:t>
      </w:r>
      <w:r w:rsidR="005979C9" w:rsidRPr="00A11E3E">
        <w:rPr>
          <w:rFonts w:ascii="Arial" w:eastAsia="MS PGothic" w:hAnsi="Arial" w:cs="Arial"/>
          <w:lang w:val="en-GB"/>
        </w:rPr>
        <w:t>A</w:t>
      </w:r>
      <w:r w:rsidRPr="00A11E3E">
        <w:rPr>
          <w:rFonts w:ascii="Arial" w:eastAsia="MS PGothic" w:hAnsi="Arial" w:cs="Arial"/>
          <w:lang w:val="en-GB"/>
        </w:rPr>
        <w:t>cute measures</w:t>
      </w:r>
      <w:r w:rsidR="005979C9" w:rsidRPr="00A11E3E">
        <w:rPr>
          <w:rFonts w:ascii="Arial" w:eastAsia="MS PGothic" w:hAnsi="Arial" w:cs="Arial"/>
          <w:lang w:val="en-GB"/>
        </w:rPr>
        <w:t>, including</w:t>
      </w:r>
      <w:r w:rsidRPr="00A11E3E">
        <w:rPr>
          <w:rFonts w:ascii="Arial" w:eastAsia="MS PGothic" w:hAnsi="Arial" w:cs="Arial"/>
          <w:lang w:val="en-GB"/>
        </w:rPr>
        <w:t xml:space="preserve"> BSC </w:t>
      </w:r>
      <w:r w:rsidR="00D45F92" w:rsidRPr="00A11E3E">
        <w:rPr>
          <w:rFonts w:ascii="Arial" w:eastAsia="MS PGothic" w:hAnsi="Arial" w:cs="Arial"/>
          <w:lang w:val="en-GB"/>
        </w:rPr>
        <w:t>parameters</w:t>
      </w:r>
      <w:r w:rsidR="005979C9" w:rsidRPr="00A11E3E">
        <w:rPr>
          <w:rFonts w:ascii="Arial" w:eastAsia="MS PGothic" w:hAnsi="Arial" w:cs="Arial"/>
          <w:lang w:val="en-GB"/>
        </w:rPr>
        <w:t xml:space="preserve"> and</w:t>
      </w:r>
      <w:r w:rsidR="00D45F92" w:rsidRPr="00A11E3E">
        <w:rPr>
          <w:rFonts w:ascii="Arial" w:eastAsia="MS PGothic" w:hAnsi="Arial" w:cs="Arial"/>
          <w:lang w:val="en-GB"/>
        </w:rPr>
        <w:t xml:space="preserve"> rehabilitation</w:t>
      </w:r>
      <w:r w:rsidR="002707EC" w:rsidRPr="00A11E3E">
        <w:rPr>
          <w:rFonts w:ascii="Arial" w:eastAsia="MS PGothic" w:hAnsi="Arial" w:cs="Arial"/>
          <w:lang w:val="en-GB"/>
        </w:rPr>
        <w:t>,</w:t>
      </w:r>
      <w:r w:rsidR="00537F96" w:rsidRPr="00A11E3E">
        <w:rPr>
          <w:rFonts w:ascii="Arial" w:eastAsia="MS PGothic" w:hAnsi="Arial" w:cs="Arial"/>
          <w:lang w:val="en-GB"/>
        </w:rPr>
        <w:t xml:space="preserve"> were assessed</w:t>
      </w:r>
      <w:r w:rsidR="00D45F92" w:rsidRPr="00A11E3E">
        <w:rPr>
          <w:rFonts w:ascii="Arial" w:eastAsia="MS PGothic" w:hAnsi="Arial" w:cs="Arial"/>
          <w:lang w:val="en-GB"/>
        </w:rPr>
        <w:t xml:space="preserve"> </w:t>
      </w:r>
      <w:r w:rsidR="004C745A" w:rsidRPr="00A11E3E">
        <w:rPr>
          <w:rFonts w:ascii="Arial" w:eastAsia="MS PGothic" w:hAnsi="Arial" w:cs="Arial"/>
          <w:lang w:val="en-GB"/>
        </w:rPr>
        <w:t>from</w:t>
      </w:r>
      <w:r w:rsidRPr="00A11E3E">
        <w:rPr>
          <w:rFonts w:ascii="Arial" w:eastAsia="MS PGothic" w:hAnsi="Arial" w:cs="Arial"/>
          <w:lang w:val="en-GB"/>
        </w:rPr>
        <w:t xml:space="preserve"> the last </w:t>
      </w:r>
      <w:r w:rsidR="00EE4EED" w:rsidRPr="00A11E3E">
        <w:rPr>
          <w:rFonts w:ascii="Arial" w:eastAsia="MS PGothic" w:hAnsi="Arial" w:cs="Arial"/>
          <w:lang w:val="en-GB"/>
        </w:rPr>
        <w:t xml:space="preserve">2 years, </w:t>
      </w:r>
      <w:r w:rsidR="00D35CF9" w:rsidRPr="00A11E3E">
        <w:rPr>
          <w:rFonts w:ascii="Arial" w:eastAsia="MS PGothic" w:hAnsi="Arial" w:cs="Arial"/>
          <w:lang w:val="en-GB"/>
        </w:rPr>
        <w:t xml:space="preserve">and </w:t>
      </w:r>
      <w:r w:rsidR="00DF7BF9" w:rsidRPr="00A11E3E">
        <w:rPr>
          <w:rFonts w:ascii="Arial" w:eastAsia="MS PGothic" w:hAnsi="Arial" w:cs="Arial"/>
          <w:lang w:val="en-GB"/>
        </w:rPr>
        <w:t xml:space="preserve">pharmacoeconomic </w:t>
      </w:r>
      <w:r w:rsidR="00EE4EED" w:rsidRPr="00A11E3E">
        <w:rPr>
          <w:rFonts w:ascii="Arial" w:eastAsia="MS PGothic" w:hAnsi="Arial" w:cs="Arial"/>
          <w:lang w:val="en-GB"/>
        </w:rPr>
        <w:t>d</w:t>
      </w:r>
      <w:r w:rsidR="00721833" w:rsidRPr="00A11E3E">
        <w:rPr>
          <w:rFonts w:ascii="Arial" w:eastAsia="MS PGothic" w:hAnsi="Arial" w:cs="Arial"/>
          <w:lang w:val="en-GB"/>
        </w:rPr>
        <w:t xml:space="preserve">ata </w:t>
      </w:r>
      <w:r w:rsidR="004C745A" w:rsidRPr="00A11E3E">
        <w:rPr>
          <w:rFonts w:ascii="Arial" w:eastAsia="MS PGothic" w:hAnsi="Arial" w:cs="Arial"/>
          <w:lang w:val="en-GB"/>
        </w:rPr>
        <w:t xml:space="preserve">from </w:t>
      </w:r>
      <w:r w:rsidRPr="00A11E3E">
        <w:rPr>
          <w:rFonts w:ascii="Arial" w:eastAsia="MS PGothic" w:hAnsi="Arial" w:cs="Arial"/>
          <w:lang w:val="en-GB"/>
        </w:rPr>
        <w:t xml:space="preserve">the last </w:t>
      </w:r>
      <w:r w:rsidR="00686279" w:rsidRPr="00A11E3E">
        <w:rPr>
          <w:rFonts w:ascii="Arial" w:eastAsia="MS PGothic" w:hAnsi="Arial" w:cs="Arial"/>
          <w:lang w:val="en-GB"/>
        </w:rPr>
        <w:t>3 months</w:t>
      </w:r>
      <w:r w:rsidR="00614D1E">
        <w:rPr>
          <w:rFonts w:ascii="Arial" w:eastAsia="MS PGothic" w:hAnsi="Arial" w:cs="Arial"/>
          <w:lang w:val="en-GB"/>
        </w:rPr>
        <w:t xml:space="preserve"> prior to study start</w:t>
      </w:r>
      <w:r w:rsidR="00686279" w:rsidRPr="00A11E3E">
        <w:rPr>
          <w:rFonts w:ascii="Arial" w:eastAsia="MS PGothic" w:hAnsi="Arial" w:cs="Arial"/>
          <w:lang w:val="en-GB"/>
        </w:rPr>
        <w:t xml:space="preserve">. </w:t>
      </w:r>
      <w:r w:rsidR="00F109DB" w:rsidRPr="00A11E3E">
        <w:rPr>
          <w:rFonts w:ascii="Arial" w:hAnsi="Arial" w:cs="Arial"/>
          <w:lang w:val="en-GB"/>
        </w:rPr>
        <w:t xml:space="preserve">Data </w:t>
      </w:r>
      <w:r w:rsidR="005969BC" w:rsidRPr="00A11E3E">
        <w:rPr>
          <w:rFonts w:ascii="Arial" w:hAnsi="Arial" w:cs="Arial"/>
          <w:lang w:val="en-GB"/>
        </w:rPr>
        <w:t>w</w:t>
      </w:r>
      <w:r w:rsidR="00E3128D" w:rsidRPr="00A11E3E">
        <w:rPr>
          <w:rFonts w:ascii="Arial" w:hAnsi="Arial" w:cs="Arial"/>
          <w:lang w:val="en-GB"/>
        </w:rPr>
        <w:t>ere</w:t>
      </w:r>
      <w:r w:rsidR="00C12917" w:rsidRPr="00A11E3E">
        <w:rPr>
          <w:rFonts w:ascii="Arial" w:hAnsi="Arial" w:cs="Arial"/>
          <w:lang w:val="en-GB"/>
        </w:rPr>
        <w:t xml:space="preserve"> </w:t>
      </w:r>
      <w:r w:rsidR="00097B1F" w:rsidRPr="00A11E3E">
        <w:rPr>
          <w:rFonts w:ascii="Arial" w:hAnsi="Arial" w:cs="Arial"/>
          <w:lang w:val="en-GB"/>
        </w:rPr>
        <w:t>analy</w:t>
      </w:r>
      <w:r w:rsidR="003D37ED" w:rsidRPr="00A11E3E">
        <w:rPr>
          <w:rFonts w:ascii="Arial" w:hAnsi="Arial" w:cs="Arial"/>
          <w:lang w:val="en-GB"/>
        </w:rPr>
        <w:t>s</w:t>
      </w:r>
      <w:r w:rsidR="00097B1F" w:rsidRPr="00A11E3E">
        <w:rPr>
          <w:rFonts w:ascii="Arial" w:hAnsi="Arial" w:cs="Arial"/>
          <w:lang w:val="en-GB"/>
        </w:rPr>
        <w:t xml:space="preserve">ed </w:t>
      </w:r>
      <w:r w:rsidR="00C12917" w:rsidRPr="00A11E3E">
        <w:rPr>
          <w:rFonts w:ascii="Arial" w:hAnsi="Arial" w:cs="Arial"/>
          <w:lang w:val="en-GB"/>
        </w:rPr>
        <w:t>using descriptive statistics</w:t>
      </w:r>
      <w:r w:rsidR="00303C64" w:rsidRPr="00A11E3E">
        <w:rPr>
          <w:rFonts w:ascii="Arial" w:hAnsi="Arial" w:cs="Arial"/>
          <w:lang w:val="en-GB"/>
        </w:rPr>
        <w:t xml:space="preserve"> with 95% </w:t>
      </w:r>
      <w:r w:rsidR="00214AAA" w:rsidRPr="00A11E3E">
        <w:rPr>
          <w:rFonts w:ascii="Arial" w:hAnsi="Arial" w:cs="Arial"/>
          <w:lang w:val="en-GB"/>
        </w:rPr>
        <w:lastRenderedPageBreak/>
        <w:t>confidence intervals</w:t>
      </w:r>
      <w:r w:rsidR="00EE4EED" w:rsidRPr="00A11E3E">
        <w:rPr>
          <w:rFonts w:ascii="Arial" w:hAnsi="Arial" w:cs="Arial"/>
          <w:lang w:val="en-GB"/>
        </w:rPr>
        <w:t xml:space="preserve">. </w:t>
      </w:r>
      <w:bookmarkStart w:id="0" w:name="_Hlk90564235"/>
      <w:r w:rsidR="00097B1F" w:rsidRPr="00A11E3E">
        <w:rPr>
          <w:rFonts w:ascii="Arial" w:hAnsi="Arial" w:cs="Arial"/>
          <w:lang w:val="en-GB"/>
        </w:rPr>
        <w:t xml:space="preserve">Primary endpoint </w:t>
      </w:r>
      <w:r w:rsidR="00C12917" w:rsidRPr="00A11E3E">
        <w:rPr>
          <w:rFonts w:ascii="Arial" w:hAnsi="Arial" w:cs="Arial"/>
          <w:lang w:val="en-GB"/>
        </w:rPr>
        <w:t xml:space="preserve">analyses </w:t>
      </w:r>
      <w:r w:rsidR="00170D06">
        <w:rPr>
          <w:rFonts w:ascii="Arial" w:hAnsi="Arial" w:cs="Arial"/>
          <w:lang w:val="en-GB"/>
        </w:rPr>
        <w:t>examined</w:t>
      </w:r>
      <w:r w:rsidR="00AD0648" w:rsidRPr="00AD0648">
        <w:rPr>
          <w:rFonts w:ascii="Arial" w:hAnsi="Arial" w:cs="Arial"/>
          <w:lang w:val="en-GB"/>
        </w:rPr>
        <w:t xml:space="preserve"> the frequency of BSC measures for PPMS symptom relief</w:t>
      </w:r>
      <w:r w:rsidR="00EE4EED" w:rsidRPr="00A11E3E">
        <w:rPr>
          <w:rFonts w:ascii="Arial" w:hAnsi="Arial" w:cs="Arial"/>
          <w:lang w:val="en-GB"/>
        </w:rPr>
        <w:t>.</w:t>
      </w:r>
      <w:r w:rsidR="00682826" w:rsidRPr="00A11E3E">
        <w:rPr>
          <w:rFonts w:ascii="Arial" w:hAnsi="Arial" w:cs="Arial"/>
          <w:lang w:val="en-GB"/>
        </w:rPr>
        <w:t xml:space="preserve"> </w:t>
      </w:r>
    </w:p>
    <w:bookmarkEnd w:id="0"/>
    <w:p w14:paraId="17A37AAD" w14:textId="6CB6F0EC" w:rsidR="00270599" w:rsidRPr="00F65E8B" w:rsidRDefault="00463BA2" w:rsidP="008F7C79">
      <w:pPr>
        <w:pStyle w:val="SynopsisText"/>
        <w:spacing w:before="60" w:after="0" w:line="360" w:lineRule="auto"/>
        <w:ind w:left="0"/>
        <w:rPr>
          <w:rFonts w:ascii="Arial" w:hAnsi="Arial" w:cs="Arial"/>
          <w:lang w:val="en-GB"/>
        </w:rPr>
      </w:pPr>
      <w:r w:rsidRPr="00A11E3E">
        <w:rPr>
          <w:rFonts w:ascii="Arial" w:hAnsi="Arial" w:cs="Arial"/>
          <w:b/>
          <w:color w:val="000000" w:themeColor="text1"/>
          <w:lang w:val="en-GB"/>
        </w:rPr>
        <w:t>Results:</w:t>
      </w:r>
      <w:r w:rsidR="001A1E99" w:rsidRPr="00A11E3E">
        <w:rPr>
          <w:rFonts w:ascii="Arial" w:hAnsi="Arial" w:cs="Arial"/>
          <w:color w:val="000000" w:themeColor="text1"/>
          <w:lang w:val="en-GB"/>
        </w:rPr>
        <w:t xml:space="preserve"> </w:t>
      </w:r>
      <w:r w:rsidR="00FE400E" w:rsidRPr="00A11E3E">
        <w:rPr>
          <w:rFonts w:ascii="Arial" w:hAnsi="Arial" w:cs="Arial"/>
          <w:lang w:val="en-GB"/>
        </w:rPr>
        <w:t>The</w:t>
      </w:r>
      <w:r w:rsidR="00682826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DE0831" w:rsidRPr="00A11E3E">
        <w:rPr>
          <w:rFonts w:ascii="Arial" w:hAnsi="Arial" w:cs="Arial"/>
          <w:color w:val="000000" w:themeColor="text1"/>
          <w:szCs w:val="24"/>
          <w:lang w:val="en-GB"/>
        </w:rPr>
        <w:t>final</w:t>
      </w:r>
      <w:r w:rsidR="00682826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analysis</w:t>
      </w:r>
      <w:r w:rsidR="00FE400E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2062EC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included </w:t>
      </w:r>
      <w:r w:rsidR="00DE0831" w:rsidRPr="00A11E3E">
        <w:rPr>
          <w:rFonts w:ascii="Arial" w:hAnsi="Arial" w:cs="Arial"/>
          <w:color w:val="000000" w:themeColor="text1"/>
          <w:szCs w:val="24"/>
          <w:lang w:val="en-GB"/>
        </w:rPr>
        <w:t>462</w:t>
      </w:r>
      <w:r w:rsidR="002062EC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patients; one patient was excluded due to </w:t>
      </w:r>
      <w:bookmarkStart w:id="1" w:name="OLE_LINK1"/>
      <w:bookmarkStart w:id="2" w:name="OLE_LINK2"/>
      <w:r w:rsidR="002062EC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failure to meet </w:t>
      </w:r>
      <w:r w:rsidR="002062EC" w:rsidRPr="00A11E3E">
        <w:rPr>
          <w:rFonts w:ascii="Arial" w:eastAsia="MS PGothic" w:hAnsi="Arial" w:cs="Arial"/>
          <w:color w:val="000000" w:themeColor="text1"/>
          <w:szCs w:val="24"/>
          <w:lang w:val="en-GB"/>
        </w:rPr>
        <w:t>McDonald 2010 criteria</w:t>
      </w:r>
      <w:bookmarkEnd w:id="1"/>
      <w:bookmarkEnd w:id="2"/>
      <w:r w:rsidR="002062EC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. </w:t>
      </w:r>
      <w:r w:rsidR="00894F1F" w:rsidRPr="00A11E3E">
        <w:rPr>
          <w:rFonts w:ascii="Arial" w:hAnsi="Arial" w:cs="Arial"/>
          <w:color w:val="000000" w:themeColor="text1"/>
          <w:szCs w:val="24"/>
          <w:lang w:val="en-GB"/>
        </w:rPr>
        <w:t>The</w:t>
      </w:r>
      <w:r w:rsidR="00E069B4" w:rsidRPr="00A11E3E">
        <w:rPr>
          <w:rFonts w:ascii="Arial" w:hAnsi="Arial" w:cs="Arial"/>
          <w:lang w:val="en-GB"/>
        </w:rPr>
        <w:t xml:space="preserve"> </w:t>
      </w:r>
      <w:proofErr w:type="spellStart"/>
      <w:r w:rsidR="00E069B4" w:rsidRPr="00A11E3E">
        <w:rPr>
          <w:rFonts w:ascii="Arial" w:hAnsi="Arial" w:cs="Arial"/>
          <w:lang w:val="en-GB"/>
        </w:rPr>
        <w:t>mean</w:t>
      </w:r>
      <w:r w:rsidR="002954E9" w:rsidRPr="00A11E3E">
        <w:rPr>
          <w:rFonts w:ascii="Arial" w:hAnsi="Arial" w:cs="Arial"/>
          <w:lang w:val="en-GB"/>
        </w:rPr>
        <w:t>±</w:t>
      </w:r>
      <w:r w:rsidR="00651615" w:rsidRPr="00A11E3E">
        <w:rPr>
          <w:rFonts w:ascii="Arial" w:hAnsi="Arial" w:cs="Arial"/>
          <w:lang w:val="en-GB"/>
        </w:rPr>
        <w:t>SD</w:t>
      </w:r>
      <w:proofErr w:type="spellEnd"/>
      <w:r w:rsidR="00651615" w:rsidRPr="00A11E3E">
        <w:rPr>
          <w:rFonts w:ascii="Arial" w:hAnsi="Arial" w:cs="Arial"/>
          <w:lang w:val="en-GB"/>
        </w:rPr>
        <w:t xml:space="preserve"> </w:t>
      </w:r>
      <w:r w:rsidR="00E069B4" w:rsidRPr="00A11E3E">
        <w:rPr>
          <w:rFonts w:ascii="Arial" w:hAnsi="Arial" w:cs="Arial"/>
          <w:lang w:val="en-GB"/>
        </w:rPr>
        <w:t xml:space="preserve">age </w:t>
      </w:r>
      <w:r w:rsidR="00894F1F" w:rsidRPr="00A11E3E">
        <w:rPr>
          <w:rFonts w:ascii="Arial" w:hAnsi="Arial" w:cs="Arial"/>
          <w:lang w:val="en-GB"/>
        </w:rPr>
        <w:t xml:space="preserve">was </w:t>
      </w:r>
      <w:r w:rsidR="00234A6A" w:rsidRPr="00A11E3E">
        <w:rPr>
          <w:rFonts w:ascii="Arial" w:hAnsi="Arial" w:cs="Arial"/>
          <w:lang w:val="en-GB"/>
        </w:rPr>
        <w:t>5</w:t>
      </w:r>
      <w:r w:rsidR="00DC2DB3" w:rsidRPr="00A11E3E">
        <w:rPr>
          <w:rFonts w:ascii="Arial" w:hAnsi="Arial" w:cs="Arial"/>
          <w:lang w:val="en-GB"/>
        </w:rPr>
        <w:t>7</w:t>
      </w:r>
      <w:r w:rsidR="004803F4" w:rsidRPr="00A11E3E">
        <w:rPr>
          <w:rFonts w:ascii="Arial" w:hAnsi="Arial" w:cs="Arial"/>
          <w:lang w:val="en-GB"/>
        </w:rPr>
        <w:t>.</w:t>
      </w:r>
      <w:r w:rsidR="00DE0831" w:rsidRPr="00A11E3E">
        <w:rPr>
          <w:rFonts w:ascii="Arial" w:hAnsi="Arial" w:cs="Arial"/>
          <w:lang w:val="en-GB"/>
        </w:rPr>
        <w:t>4</w:t>
      </w:r>
      <w:r w:rsidR="00E069B4" w:rsidRPr="00A11E3E">
        <w:rPr>
          <w:rFonts w:ascii="Arial" w:hAnsi="Arial" w:cs="Arial"/>
          <w:lang w:val="en-GB"/>
        </w:rPr>
        <w:t>±1</w:t>
      </w:r>
      <w:r w:rsidR="00DE0831" w:rsidRPr="00A11E3E">
        <w:rPr>
          <w:rFonts w:ascii="Arial" w:hAnsi="Arial" w:cs="Arial"/>
          <w:lang w:val="en-GB"/>
        </w:rPr>
        <w:t>0</w:t>
      </w:r>
      <w:r w:rsidR="004803F4" w:rsidRPr="00A11E3E">
        <w:rPr>
          <w:rFonts w:ascii="Arial" w:hAnsi="Arial" w:cs="Arial"/>
          <w:lang w:val="en-GB"/>
        </w:rPr>
        <w:t>.</w:t>
      </w:r>
      <w:r w:rsidR="00DE0831" w:rsidRPr="00A11E3E">
        <w:rPr>
          <w:rFonts w:ascii="Arial" w:hAnsi="Arial" w:cs="Arial"/>
          <w:lang w:val="en-GB"/>
        </w:rPr>
        <w:t>9</w:t>
      </w:r>
      <w:r w:rsidR="00DC2DB3" w:rsidRPr="00A11E3E">
        <w:rPr>
          <w:rFonts w:ascii="Arial" w:hAnsi="Arial" w:cs="Arial"/>
          <w:lang w:val="en-GB"/>
        </w:rPr>
        <w:t xml:space="preserve"> </w:t>
      </w:r>
      <w:r w:rsidR="00E069B4" w:rsidRPr="00A11E3E">
        <w:rPr>
          <w:rFonts w:ascii="Arial" w:hAnsi="Arial" w:cs="Arial"/>
          <w:lang w:val="en-GB"/>
        </w:rPr>
        <w:t>years</w:t>
      </w:r>
      <w:r w:rsidR="003C15B3" w:rsidRPr="00A11E3E">
        <w:rPr>
          <w:rFonts w:ascii="Arial" w:hAnsi="Arial" w:cs="Arial"/>
          <w:lang w:val="en-GB"/>
        </w:rPr>
        <w:t>,</w:t>
      </w:r>
      <w:r w:rsidR="00E069B4" w:rsidRPr="00A11E3E">
        <w:rPr>
          <w:rFonts w:ascii="Arial" w:hAnsi="Arial" w:cs="Arial"/>
          <w:lang w:val="en-GB"/>
        </w:rPr>
        <w:t xml:space="preserve"> and </w:t>
      </w:r>
      <w:r w:rsidR="00DE0831" w:rsidRPr="00A11E3E">
        <w:rPr>
          <w:rFonts w:ascii="Arial" w:hAnsi="Arial" w:cs="Arial"/>
          <w:lang w:val="en-GB"/>
        </w:rPr>
        <w:t>55</w:t>
      </w:r>
      <w:r w:rsidR="004803F4" w:rsidRPr="00A11E3E">
        <w:rPr>
          <w:rFonts w:ascii="Arial" w:hAnsi="Arial" w:cs="Arial"/>
          <w:lang w:val="en-GB"/>
        </w:rPr>
        <w:t>.</w:t>
      </w:r>
      <w:r w:rsidR="00DE0831" w:rsidRPr="00A11E3E">
        <w:rPr>
          <w:rFonts w:ascii="Arial" w:hAnsi="Arial" w:cs="Arial"/>
          <w:lang w:val="en-GB"/>
        </w:rPr>
        <w:t>8</w:t>
      </w:r>
      <w:r w:rsidR="00682826" w:rsidRPr="00A11E3E">
        <w:rPr>
          <w:rFonts w:ascii="Arial" w:hAnsi="Arial" w:cs="Arial"/>
          <w:lang w:val="en-GB"/>
        </w:rPr>
        <w:t xml:space="preserve">% of the patients </w:t>
      </w:r>
      <w:r w:rsidR="00E069B4" w:rsidRPr="00A11E3E">
        <w:rPr>
          <w:rFonts w:ascii="Arial" w:hAnsi="Arial" w:cs="Arial"/>
          <w:lang w:val="en-GB"/>
        </w:rPr>
        <w:t>were female</w:t>
      </w:r>
      <w:r w:rsidR="00214AAA" w:rsidRPr="00A11E3E">
        <w:rPr>
          <w:rFonts w:ascii="Arial" w:hAnsi="Arial" w:cs="Arial"/>
          <w:lang w:val="en-GB"/>
        </w:rPr>
        <w:t xml:space="preserve">. </w:t>
      </w:r>
      <w:r w:rsidR="00221B6B" w:rsidRPr="00A11E3E">
        <w:rPr>
          <w:rFonts w:ascii="Arial" w:hAnsi="Arial" w:cs="Arial"/>
          <w:lang w:val="en-GB"/>
        </w:rPr>
        <w:t>The most frequently reported PPMS symptom was muscle spasticity (60</w:t>
      </w:r>
      <w:r w:rsidR="00221B6B" w:rsidRPr="00F65E8B">
        <w:rPr>
          <w:rFonts w:ascii="Arial" w:hAnsi="Arial" w:cs="Arial"/>
          <w:lang w:val="en-GB"/>
        </w:rPr>
        <w:t>.8%</w:t>
      </w:r>
      <w:r w:rsidR="00D8200E" w:rsidRPr="00F65E8B">
        <w:rPr>
          <w:rFonts w:ascii="Arial" w:hAnsi="Arial" w:cs="Arial"/>
          <w:lang w:val="en-GB"/>
        </w:rPr>
        <w:t xml:space="preserve"> of patients</w:t>
      </w:r>
      <w:r w:rsidR="00221B6B" w:rsidRPr="00F65E8B">
        <w:rPr>
          <w:rFonts w:ascii="Arial" w:hAnsi="Arial" w:cs="Arial"/>
          <w:lang w:val="en-GB"/>
        </w:rPr>
        <w:t>), which was treated in 73</w:t>
      </w:r>
      <w:r w:rsidR="00542D33" w:rsidRPr="00F65E8B">
        <w:rPr>
          <w:rFonts w:ascii="Arial" w:hAnsi="Arial" w:cs="Arial"/>
          <w:lang w:val="en-GB"/>
        </w:rPr>
        <w:t>.0</w:t>
      </w:r>
      <w:r w:rsidR="00221B6B" w:rsidRPr="00F65E8B">
        <w:rPr>
          <w:rFonts w:ascii="Arial" w:hAnsi="Arial" w:cs="Arial"/>
          <w:lang w:val="en-GB"/>
        </w:rPr>
        <w:t xml:space="preserve">% of </w:t>
      </w:r>
      <w:r w:rsidR="00F900E2" w:rsidRPr="00F65E8B">
        <w:rPr>
          <w:rFonts w:ascii="Arial" w:hAnsi="Arial" w:cs="Arial"/>
          <w:lang w:val="en-GB"/>
        </w:rPr>
        <w:t>affected</w:t>
      </w:r>
      <w:r w:rsidR="00614D1E" w:rsidRPr="00F65E8B">
        <w:rPr>
          <w:rFonts w:ascii="Arial" w:hAnsi="Arial" w:cs="Arial"/>
          <w:lang w:val="en-GB"/>
        </w:rPr>
        <w:t xml:space="preserve"> </w:t>
      </w:r>
      <w:r w:rsidR="00221B6B" w:rsidRPr="00F65E8B">
        <w:rPr>
          <w:rFonts w:ascii="Arial" w:hAnsi="Arial" w:cs="Arial"/>
          <w:lang w:val="en-GB"/>
        </w:rPr>
        <w:t>patients</w:t>
      </w:r>
      <w:r w:rsidR="003D37ED" w:rsidRPr="00F65E8B">
        <w:rPr>
          <w:rFonts w:ascii="Arial" w:hAnsi="Arial" w:cs="Arial"/>
          <w:lang w:val="en-GB"/>
        </w:rPr>
        <w:t xml:space="preserve">, </w:t>
      </w:r>
      <w:r w:rsidR="00221B6B" w:rsidRPr="00F65E8B">
        <w:rPr>
          <w:rFonts w:ascii="Arial" w:hAnsi="Arial" w:cs="Arial"/>
          <w:lang w:val="en-GB"/>
        </w:rPr>
        <w:t>most often with baclofen (32.4%).</w:t>
      </w:r>
      <w:r w:rsidR="00A20204" w:rsidRPr="00F65E8B">
        <w:rPr>
          <w:rFonts w:ascii="Arial" w:hAnsi="Arial" w:cs="Arial"/>
          <w:lang w:val="en-GB"/>
        </w:rPr>
        <w:t xml:space="preserve"> </w:t>
      </w:r>
      <w:r w:rsidR="008F7C79" w:rsidRPr="00F65E8B">
        <w:rPr>
          <w:rFonts w:ascii="Arial" w:hAnsi="Arial" w:cs="Arial"/>
          <w:lang w:val="en-GB"/>
        </w:rPr>
        <w:t>The most common non-medicinal treatment was physical/occupational therapy. The three most common symptomatic medications were fampridine, baclofen and cannabinoids. 47.2% of patients received an off-label treatment, most commonly cortisone (32.9% of patients).</w:t>
      </w:r>
    </w:p>
    <w:p w14:paraId="1711F36B" w14:textId="65EAC0FD" w:rsidR="008F7C79" w:rsidRDefault="00EE4EED" w:rsidP="008F7C79">
      <w:pPr>
        <w:pStyle w:val="SynopsisText"/>
        <w:spacing w:before="60" w:after="0" w:line="360" w:lineRule="auto"/>
        <w:ind w:left="0"/>
        <w:rPr>
          <w:rFonts w:ascii="Arial" w:hAnsi="Arial" w:cs="Arial"/>
          <w:color w:val="000000" w:themeColor="text1"/>
          <w:szCs w:val="24"/>
          <w:lang w:val="en-GB"/>
        </w:rPr>
      </w:pPr>
      <w:r w:rsidRPr="00A11E3E">
        <w:rPr>
          <w:rFonts w:ascii="Arial" w:hAnsi="Arial" w:cs="Arial"/>
          <w:b/>
          <w:color w:val="000000" w:themeColor="text1"/>
          <w:szCs w:val="24"/>
          <w:lang w:val="en-GB"/>
        </w:rPr>
        <w:t>Conclusions</w:t>
      </w:r>
      <w:r w:rsidR="00463BA2" w:rsidRPr="00A11E3E">
        <w:rPr>
          <w:rFonts w:ascii="Arial" w:hAnsi="Arial" w:cs="Arial"/>
          <w:b/>
          <w:color w:val="000000" w:themeColor="text1"/>
          <w:szCs w:val="24"/>
          <w:lang w:val="en-GB"/>
        </w:rPr>
        <w:t>:</w:t>
      </w:r>
      <w:r w:rsidR="00522F4A" w:rsidRPr="00A11E3E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 w:rsidR="002707EC" w:rsidRPr="00A11E3E">
        <w:rPr>
          <w:rFonts w:ascii="Arial" w:hAnsi="Arial" w:cs="Arial"/>
          <w:color w:val="000000" w:themeColor="text1"/>
          <w:szCs w:val="24"/>
          <w:lang w:val="en-GB"/>
        </w:rPr>
        <w:t>Prior to the advent of ocrelizumab</w:t>
      </w:r>
      <w:r w:rsidR="000C7A5F" w:rsidRPr="00A11E3E">
        <w:rPr>
          <w:rFonts w:ascii="Arial" w:hAnsi="Arial" w:cs="Arial"/>
          <w:color w:val="000000" w:themeColor="text1"/>
          <w:szCs w:val="24"/>
          <w:lang w:val="en-GB"/>
        </w:rPr>
        <w:t>,</w:t>
      </w:r>
      <w:r w:rsidR="002707EC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only symptomatic </w:t>
      </w:r>
      <w:r w:rsidR="00614D1E">
        <w:rPr>
          <w:rFonts w:ascii="Arial" w:hAnsi="Arial" w:cs="Arial"/>
          <w:color w:val="000000" w:themeColor="text1"/>
          <w:szCs w:val="24"/>
          <w:lang w:val="en-GB"/>
        </w:rPr>
        <w:t>therapies</w:t>
      </w:r>
      <w:r w:rsidR="000C7A5F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unable to</w:t>
      </w:r>
      <w:r w:rsidR="002707EC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slow progression were available for PPMS treatment. R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ETRO PPMS </w:t>
      </w:r>
      <w:r w:rsidR="00C46E4A" w:rsidRPr="00A11E3E">
        <w:rPr>
          <w:rFonts w:ascii="Arial" w:hAnsi="Arial" w:cs="Arial"/>
          <w:color w:val="000000" w:themeColor="text1"/>
          <w:szCs w:val="24"/>
          <w:lang w:val="en-GB"/>
        </w:rPr>
        <w:t>provide</w:t>
      </w:r>
      <w:r w:rsidR="00463BA2" w:rsidRPr="00A11E3E">
        <w:rPr>
          <w:rFonts w:ascii="Arial" w:hAnsi="Arial" w:cs="Arial"/>
          <w:color w:val="000000" w:themeColor="text1"/>
          <w:szCs w:val="24"/>
          <w:lang w:val="en-GB"/>
        </w:rPr>
        <w:t>s</w:t>
      </w:r>
      <w:r w:rsidR="00C46E4A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F900E2">
        <w:rPr>
          <w:rFonts w:ascii="Arial" w:hAnsi="Arial" w:cs="Arial"/>
          <w:color w:val="000000" w:themeColor="text1"/>
          <w:szCs w:val="24"/>
          <w:lang w:val="en-GB"/>
        </w:rPr>
        <w:t xml:space="preserve">valuable </w:t>
      </w:r>
      <w:r w:rsidR="007F00D4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real-world 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data </w:t>
      </w:r>
      <w:r w:rsidR="002707EC" w:rsidRPr="00A11E3E">
        <w:rPr>
          <w:rFonts w:ascii="Arial" w:hAnsi="Arial" w:cs="Arial"/>
          <w:color w:val="000000" w:themeColor="text1"/>
          <w:szCs w:val="24"/>
          <w:lang w:val="en-GB"/>
        </w:rPr>
        <w:t>on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F900E2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epidemiology and </w:t>
      </w:r>
      <w:r w:rsidR="006F40AF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individual patterns of 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care </w:t>
      </w:r>
      <w:r w:rsidR="00236843">
        <w:rPr>
          <w:rFonts w:ascii="Arial" w:hAnsi="Arial" w:cs="Arial"/>
          <w:color w:val="000000" w:themeColor="text1"/>
          <w:szCs w:val="24"/>
          <w:lang w:val="en-GB"/>
        </w:rPr>
        <w:t>for</w:t>
      </w:r>
      <w:r w:rsidR="00236843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 xml:space="preserve">patients </w:t>
      </w:r>
      <w:r w:rsidR="00096BA9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with PPMS </w:t>
      </w:r>
      <w:r w:rsidRPr="00A11E3E">
        <w:rPr>
          <w:rFonts w:ascii="Arial" w:hAnsi="Arial" w:cs="Arial"/>
          <w:color w:val="000000" w:themeColor="text1"/>
          <w:szCs w:val="24"/>
          <w:lang w:val="en-GB"/>
        </w:rPr>
        <w:t>in Germany</w:t>
      </w:r>
      <w:r w:rsidR="000C7A5F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AD0648" w:rsidRPr="00AD0648">
        <w:rPr>
          <w:rFonts w:ascii="Arial" w:hAnsi="Arial" w:cs="Arial"/>
          <w:color w:val="000000" w:themeColor="text1"/>
          <w:szCs w:val="24"/>
          <w:lang w:val="en-GB"/>
        </w:rPr>
        <w:t xml:space="preserve">prior to </w:t>
      </w:r>
      <w:r w:rsidR="00AD0648">
        <w:rPr>
          <w:rFonts w:ascii="Arial" w:hAnsi="Arial" w:cs="Arial"/>
          <w:color w:val="000000" w:themeColor="text1"/>
          <w:szCs w:val="24"/>
          <w:lang w:val="en-GB"/>
        </w:rPr>
        <w:t>o</w:t>
      </w:r>
      <w:r w:rsidR="00AD0648" w:rsidRPr="00AD0648">
        <w:rPr>
          <w:rFonts w:ascii="Arial" w:hAnsi="Arial" w:cs="Arial"/>
          <w:color w:val="000000" w:themeColor="text1"/>
          <w:szCs w:val="24"/>
          <w:lang w:val="en-GB"/>
        </w:rPr>
        <w:t>crelizumab treatment</w:t>
      </w:r>
      <w:r w:rsidR="002707EC" w:rsidRPr="00A11E3E">
        <w:rPr>
          <w:rFonts w:ascii="Arial" w:hAnsi="Arial" w:cs="Arial"/>
          <w:color w:val="000000" w:themeColor="text1"/>
          <w:szCs w:val="24"/>
          <w:lang w:val="en-GB"/>
        </w:rPr>
        <w:t>.</w:t>
      </w:r>
      <w:r w:rsidR="006F40AF" w:rsidRPr="00A11E3E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</w:p>
    <w:p w14:paraId="61DD4B6B" w14:textId="77777777" w:rsidR="008F7C79" w:rsidRDefault="008F7C79" w:rsidP="008F7C79">
      <w:pPr>
        <w:pStyle w:val="SynopsisText"/>
        <w:spacing w:before="60" w:after="0" w:line="360" w:lineRule="auto"/>
        <w:ind w:left="0"/>
        <w:rPr>
          <w:rFonts w:ascii="Arial" w:hAnsi="Arial" w:cs="Arial"/>
          <w:color w:val="000000" w:themeColor="text1"/>
          <w:szCs w:val="24"/>
          <w:lang w:val="en-GB"/>
        </w:rPr>
      </w:pPr>
    </w:p>
    <w:p w14:paraId="37EB3A22" w14:textId="0C95296B" w:rsidR="00522F4A" w:rsidRPr="00A11E3E" w:rsidRDefault="008F7C79" w:rsidP="0076774C">
      <w:pPr>
        <w:pStyle w:val="SynopsisText"/>
        <w:spacing w:before="60" w:after="0" w:line="360" w:lineRule="auto"/>
        <w:ind w:left="0"/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</w:pPr>
      <w:r w:rsidRPr="00F65E8B">
        <w:rPr>
          <w:rFonts w:ascii="Arial" w:hAnsi="Arial" w:cs="Arial"/>
          <w:szCs w:val="24"/>
          <w:lang w:val="en-GB"/>
        </w:rPr>
        <w:t>These data were originally presented at the European Academy of Neurology Congress, 25–28 June 2022</w:t>
      </w:r>
      <w:r w:rsidR="0084685F" w:rsidRPr="00F65E8B">
        <w:rPr>
          <w:rFonts w:ascii="Arial" w:hAnsi="Arial" w:cs="Arial"/>
          <w:szCs w:val="24"/>
          <w:lang w:val="en-GB"/>
        </w:rPr>
        <w:t>.</w:t>
      </w:r>
      <w:r w:rsidRPr="00F65E8B">
        <w:rPr>
          <w:rFonts w:ascii="Arial" w:hAnsi="Arial" w:cs="Arial"/>
          <w:szCs w:val="24"/>
          <w:lang w:val="en-GB"/>
        </w:rPr>
        <w:t xml:space="preserve"> </w:t>
      </w:r>
      <w:r w:rsidR="00221B6B" w:rsidRPr="00A11E3E">
        <w:rPr>
          <w:rFonts w:ascii="Arial" w:hAnsi="Arial" w:cs="Arial"/>
          <w:color w:val="000000" w:themeColor="text1"/>
          <w:lang w:val="en-GB"/>
        </w:rPr>
        <w:br w:type="page"/>
      </w:r>
      <w:r w:rsidR="008D0533"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lastRenderedPageBreak/>
        <w:t>Ack</w:t>
      </w:r>
      <w:r w:rsidR="00522F4A"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nowledgements</w:t>
      </w:r>
    </w:p>
    <w:p w14:paraId="5621E984" w14:textId="60718DC6" w:rsidR="00522F4A" w:rsidRPr="00A11E3E" w:rsidRDefault="00522F4A" w:rsidP="00614D1E">
      <w:pPr>
        <w:pStyle w:val="SynopsisText"/>
        <w:spacing w:before="60" w:line="360" w:lineRule="auto"/>
        <w:rPr>
          <w:rFonts w:ascii="Arial" w:eastAsia="Calibri" w:hAnsi="Arial" w:cs="Arial"/>
          <w:i/>
          <w:color w:val="000000" w:themeColor="text1"/>
          <w:szCs w:val="24"/>
          <w:lang w:val="en-GB"/>
        </w:rPr>
      </w:pP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The study is sponsored by Roche Pharma AG, Grenzach-Wyhlen, Germany. Writing and editorial assistance for this abstract was provided by </w:t>
      </w:r>
      <w:r w:rsidR="006A61DF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Ashfield </w:t>
      </w:r>
      <w:proofErr w:type="spellStart"/>
      <w:r w:rsidR="006A61DF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MedComms</w:t>
      </w:r>
      <w:proofErr w:type="spellEnd"/>
      <w:r w:rsidR="006A61DF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 GmbH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, Mannheim, Germany, and sponsored by Roche Pharma AG. </w:t>
      </w:r>
    </w:p>
    <w:p w14:paraId="0ED51CD6" w14:textId="776F3E22" w:rsidR="004803F4" w:rsidRPr="00A11E3E" w:rsidRDefault="004803F4" w:rsidP="00614D1E">
      <w:pPr>
        <w:rPr>
          <w:rFonts w:ascii="Arial" w:eastAsia="Calibri" w:hAnsi="Arial" w:cs="Arial"/>
          <w:b/>
          <w:i/>
          <w:color w:val="000000" w:themeColor="text1"/>
          <w:lang w:val="en-GB" w:eastAsia="de-DE"/>
        </w:rPr>
      </w:pPr>
    </w:p>
    <w:p w14:paraId="51B0F9FB" w14:textId="0D72F95D" w:rsidR="004803F4" w:rsidRPr="00A11E3E" w:rsidRDefault="00522F4A" w:rsidP="00614D1E">
      <w:pPr>
        <w:pStyle w:val="SynopsisText"/>
        <w:spacing w:before="60" w:line="360" w:lineRule="auto"/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</w:pPr>
      <w:r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Disclosures</w:t>
      </w:r>
    </w:p>
    <w:p w14:paraId="349FD60E" w14:textId="527AF25F" w:rsidR="00522F4A" w:rsidRPr="00A11E3E" w:rsidRDefault="00522F4A" w:rsidP="00614D1E">
      <w:pPr>
        <w:pStyle w:val="SynopsisText"/>
        <w:spacing w:before="60" w:line="360" w:lineRule="auto"/>
        <w:rPr>
          <w:rFonts w:ascii="Arial" w:eastAsia="Calibri" w:hAnsi="Arial" w:cs="Arial"/>
          <w:i/>
          <w:color w:val="000000" w:themeColor="text1"/>
          <w:szCs w:val="24"/>
          <w:lang w:val="en-GB"/>
        </w:rPr>
      </w:pP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All authors received support for their contribution to this study as well as medical writing support for the development of this congress abstract from Roche Pharma AG, Grenzach-Wyhlen, Germany.</w:t>
      </w:r>
      <w:r w:rsidR="008010D1" w:rsidRPr="00A11E3E">
        <w:rPr>
          <w:rFonts w:ascii="Arial" w:hAnsi="Arial" w:cs="Arial"/>
          <w:noProof/>
          <w:lang w:val="en-GB"/>
        </w:rPr>
        <w:t xml:space="preserve"> </w:t>
      </w:r>
    </w:p>
    <w:p w14:paraId="5D784E95" w14:textId="70251247" w:rsidR="0051426E" w:rsidRPr="00A11E3E" w:rsidRDefault="00522F4A" w:rsidP="00614D1E">
      <w:pPr>
        <w:pStyle w:val="SynopsisText"/>
        <w:spacing w:before="60" w:line="360" w:lineRule="auto"/>
        <w:rPr>
          <w:rFonts w:ascii="Arial" w:hAnsi="Arial" w:cs="Arial"/>
          <w:i/>
          <w:iCs/>
          <w:color w:val="000000"/>
          <w:vertAlign w:val="superscript"/>
          <w:lang w:val="en-GB"/>
        </w:rPr>
      </w:pPr>
      <w:r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H Schreiber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: </w:t>
      </w:r>
      <w:bookmarkStart w:id="3" w:name="_GoBack"/>
      <w:bookmarkEnd w:id="3"/>
      <w:r w:rsidR="000833CC" w:rsidRPr="00B94769">
        <w:rPr>
          <w:rFonts w:ascii="Arial" w:eastAsia="Calibri" w:hAnsi="Arial" w:cs="Arial"/>
          <w:i/>
          <w:szCs w:val="24"/>
          <w:lang w:val="en-GB"/>
        </w:rPr>
        <w:t>Almirall</w:t>
      </w:r>
      <w:r w:rsidR="002E5020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2,3,5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>, Biogen</w:t>
      </w:r>
      <w:r w:rsidR="002E5020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2,3,5,7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 xml:space="preserve">, </w:t>
      </w:r>
      <w:r w:rsidR="002E5020" w:rsidRPr="00B94769">
        <w:rPr>
          <w:rFonts w:ascii="Arial" w:eastAsia="Calibri" w:hAnsi="Arial" w:cs="Arial"/>
          <w:i/>
          <w:szCs w:val="24"/>
          <w:lang w:val="en-GB"/>
        </w:rPr>
        <w:t>Bristol-Myers Squibb</w:t>
      </w:r>
      <w:r w:rsidR="002E5020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6</w:t>
      </w:r>
      <w:r w:rsidR="002E5020" w:rsidRPr="00B94769">
        <w:rPr>
          <w:rFonts w:ascii="Arial" w:eastAsia="Calibri" w:hAnsi="Arial" w:cs="Arial"/>
          <w:i/>
          <w:szCs w:val="24"/>
          <w:lang w:val="en-GB"/>
        </w:rPr>
        <w:t xml:space="preserve">, 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>Genzyme</w:t>
      </w:r>
      <w:r w:rsidR="002E5020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 xml:space="preserve">, </w:t>
      </w:r>
      <w:r w:rsidR="002E5020" w:rsidRPr="00B94769">
        <w:rPr>
          <w:rFonts w:ascii="Arial" w:eastAsia="Calibri" w:hAnsi="Arial" w:cs="Arial"/>
          <w:i/>
          <w:szCs w:val="24"/>
          <w:lang w:val="en-GB"/>
        </w:rPr>
        <w:t>Janssen</w:t>
      </w:r>
      <w:r w:rsidR="002E5020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2,5</w:t>
      </w:r>
      <w:r w:rsidR="002E5020" w:rsidRPr="00B94769">
        <w:rPr>
          <w:rFonts w:ascii="Arial" w:eastAsia="Calibri" w:hAnsi="Arial" w:cs="Arial"/>
          <w:i/>
          <w:szCs w:val="24"/>
          <w:lang w:val="en-GB"/>
        </w:rPr>
        <w:t xml:space="preserve">, 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>Merck</w:t>
      </w:r>
      <w:r w:rsidR="002E5020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>, Novartis</w:t>
      </w:r>
      <w:r w:rsidR="002A16FA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2,3,5,7,9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>, Roche</w:t>
      </w:r>
      <w:r w:rsidR="002A16FA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2,3,5,7,9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>, Teva</w:t>
      </w:r>
      <w:r w:rsidR="000833CC" w:rsidRPr="00B94769">
        <w:rPr>
          <w:rFonts w:ascii="Arial" w:eastAsia="Calibri" w:hAnsi="Arial" w:cs="Arial"/>
          <w:i/>
          <w:szCs w:val="24"/>
          <w:vertAlign w:val="superscript"/>
          <w:lang w:val="en-GB"/>
        </w:rPr>
        <w:t>2,3,5</w:t>
      </w:r>
      <w:r w:rsidR="000833CC" w:rsidRPr="00B94769">
        <w:rPr>
          <w:rFonts w:ascii="Arial" w:eastAsia="Calibri" w:hAnsi="Arial" w:cs="Arial"/>
          <w:i/>
          <w:szCs w:val="24"/>
          <w:lang w:val="en-GB"/>
        </w:rPr>
        <w:t xml:space="preserve">; </w:t>
      </w:r>
      <w:r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 xml:space="preserve">IK </w:t>
      </w:r>
      <w:proofErr w:type="spellStart"/>
      <w:r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Penner</w:t>
      </w:r>
      <w:proofErr w:type="spellEnd"/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:</w:t>
      </w:r>
      <w:r w:rsidR="008010D1" w:rsidRPr="00A11E3E">
        <w:rPr>
          <w:rFonts w:ascii="Arial" w:hAnsi="Arial" w:cs="Arial"/>
          <w:noProof/>
          <w:lang w:val="en-GB"/>
        </w:rPr>
        <w:t xml:space="preserve"> </w:t>
      </w:r>
      <w:proofErr w:type="spellStart"/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Adamas</w:t>
      </w:r>
      <w:proofErr w:type="spellEnd"/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 Pharma, </w:t>
      </w:r>
      <w:proofErr w:type="spellStart"/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Almirall</w:t>
      </w:r>
      <w:proofErr w:type="spellEnd"/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, Bayer Pharma, Biogen, Celgene, Genzyme, Merck, Novartis, Roche, Teva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2,3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; the German MS Society, Celgene, Novartis, Roche, Teva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7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; </w:t>
      </w:r>
      <w:r w:rsidR="008010D1"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C Cooper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: Roche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10</w:t>
      </w:r>
      <w:r w:rsidR="008010D1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;</w:t>
      </w:r>
      <w:r w:rsidR="00B1659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 </w:t>
      </w:r>
      <w:r w:rsidR="00B1659E" w:rsidRPr="00B1659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T. Maier,</w:t>
      </w:r>
      <w:r w:rsidR="00B1659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 Roche</w:t>
      </w:r>
      <w:r w:rsidR="00B1659E"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10</w:t>
      </w:r>
      <w:r w:rsidR="00B1659E">
        <w:rPr>
          <w:rFonts w:ascii="Arial" w:eastAsia="Calibri" w:hAnsi="Arial" w:cs="Arial"/>
          <w:i/>
          <w:color w:val="000000" w:themeColor="text1"/>
          <w:szCs w:val="24"/>
          <w:lang w:val="en-GB"/>
        </w:rPr>
        <w:t>,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 </w:t>
      </w:r>
      <w:r w:rsidR="00221B6B" w:rsidRPr="00A11E3E">
        <w:rPr>
          <w:rFonts w:ascii="Arial" w:eastAsia="Calibri" w:hAnsi="Arial" w:cs="Arial"/>
          <w:b/>
          <w:bCs/>
          <w:i/>
          <w:color w:val="000000" w:themeColor="text1"/>
          <w:szCs w:val="24"/>
          <w:lang w:val="en-GB"/>
        </w:rPr>
        <w:t xml:space="preserve">J </w:t>
      </w:r>
      <w:proofErr w:type="spellStart"/>
      <w:r w:rsidR="00221B6B" w:rsidRPr="00A11E3E">
        <w:rPr>
          <w:rFonts w:ascii="Arial" w:eastAsia="Calibri" w:hAnsi="Arial" w:cs="Arial"/>
          <w:b/>
          <w:bCs/>
          <w:i/>
          <w:color w:val="000000" w:themeColor="text1"/>
          <w:szCs w:val="24"/>
          <w:lang w:val="en-GB"/>
        </w:rPr>
        <w:t>Leemhuis</w:t>
      </w:r>
      <w:proofErr w:type="spellEnd"/>
      <w:r w:rsidR="00221B6B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: </w:t>
      </w:r>
      <w:r w:rsidR="006A61DF" w:rsidRPr="00325A66">
        <w:rPr>
          <w:rFonts w:ascii="Arial" w:eastAsia="Calibri" w:hAnsi="Arial" w:cs="Arial"/>
          <w:i/>
          <w:szCs w:val="24"/>
          <w:lang w:val="en-GB"/>
        </w:rPr>
        <w:t>Roche</w:t>
      </w:r>
      <w:r w:rsidR="006A61DF" w:rsidRPr="00325A66">
        <w:rPr>
          <w:rFonts w:ascii="Arial" w:eastAsia="Calibri" w:hAnsi="Arial" w:cs="Arial"/>
          <w:i/>
          <w:szCs w:val="24"/>
          <w:vertAlign w:val="superscript"/>
          <w:lang w:val="en-GB"/>
        </w:rPr>
        <w:t>10, 11</w:t>
      </w:r>
      <w:r w:rsidR="00221B6B" w:rsidRPr="00325A66">
        <w:rPr>
          <w:rFonts w:ascii="Arial" w:eastAsia="Calibri" w:hAnsi="Arial" w:cs="Arial"/>
          <w:i/>
          <w:szCs w:val="24"/>
          <w:lang w:val="en-GB"/>
        </w:rPr>
        <w:t>;</w:t>
      </w:r>
      <w:r w:rsidR="00221B6B"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 </w:t>
      </w:r>
      <w:r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S Hieke-Schulz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: Roche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10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; </w:t>
      </w:r>
      <w:r w:rsidRPr="00A11E3E">
        <w:rPr>
          <w:rFonts w:ascii="Arial" w:eastAsia="Calibri" w:hAnsi="Arial" w:cs="Arial"/>
          <w:b/>
          <w:i/>
          <w:color w:val="000000" w:themeColor="text1"/>
          <w:szCs w:val="24"/>
          <w:lang w:val="en-GB"/>
        </w:rPr>
        <w:t>T Ziemssen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: 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Bayer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2,11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 xml:space="preserve">, Biogen 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2, 3, 9, 7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, Genzyme/Sanofi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2, 3, 9, 7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, Novartis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2, 3, 9, 7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, Roche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2, 3, 9, 7,11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, Teva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 xml:space="preserve"> 2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; Celgene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2, 3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, Almirall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</w:t>
      </w:r>
      <w:r w:rsidR="0051426E" w:rsidRPr="00A11E3E">
        <w:rPr>
          <w:rFonts w:ascii="Arial" w:hAnsi="Arial" w:cs="Arial"/>
          <w:i/>
          <w:iCs/>
          <w:color w:val="000000"/>
          <w:lang w:val="en-GB"/>
        </w:rPr>
        <w:t>, Merck</w:t>
      </w:r>
      <w:r w:rsidR="0051426E" w:rsidRPr="00A11E3E">
        <w:rPr>
          <w:rFonts w:ascii="Arial" w:hAnsi="Arial" w:cs="Arial"/>
          <w:i/>
          <w:iCs/>
          <w:color w:val="000000"/>
          <w:vertAlign w:val="superscript"/>
          <w:lang w:val="en-GB"/>
        </w:rPr>
        <w:t>2,3, 9</w:t>
      </w:r>
    </w:p>
    <w:p w14:paraId="208F0DBC" w14:textId="77777777" w:rsidR="00522F4A" w:rsidRPr="00A11E3E" w:rsidRDefault="00522F4A" w:rsidP="00614D1E">
      <w:pPr>
        <w:pStyle w:val="SynopsisText"/>
        <w:spacing w:before="60" w:line="360" w:lineRule="auto"/>
        <w:rPr>
          <w:rFonts w:ascii="Arial" w:eastAsia="Calibri" w:hAnsi="Arial" w:cs="Arial"/>
          <w:i/>
          <w:color w:val="000000" w:themeColor="text1"/>
          <w:szCs w:val="24"/>
          <w:lang w:val="en-GB"/>
        </w:rPr>
      </w:pP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1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Royalties;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2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speakers bureau or advisory board;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3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consulting fees;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4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board of trustees;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5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travel reimbursement;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6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writing assistance;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7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research grants;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8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data and safety monitoring boards;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9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data monitoring or steering committees;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10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 xml:space="preserve">employee; </w:t>
      </w:r>
      <w:r w:rsidRPr="00A11E3E">
        <w:rPr>
          <w:rFonts w:ascii="Arial" w:eastAsia="Calibri" w:hAnsi="Arial" w:cs="Arial"/>
          <w:i/>
          <w:color w:val="000000" w:themeColor="text1"/>
          <w:szCs w:val="24"/>
          <w:vertAlign w:val="superscript"/>
          <w:lang w:val="en-GB"/>
        </w:rPr>
        <w:t>11</w:t>
      </w:r>
      <w:r w:rsidRPr="00A11E3E">
        <w:rPr>
          <w:rFonts w:ascii="Arial" w:eastAsia="Calibri" w:hAnsi="Arial" w:cs="Arial"/>
          <w:i/>
          <w:color w:val="000000" w:themeColor="text1"/>
          <w:szCs w:val="24"/>
          <w:lang w:val="en-GB"/>
        </w:rPr>
        <w:t>shareholder, or financial interests</w:t>
      </w:r>
    </w:p>
    <w:p w14:paraId="4D079695" w14:textId="3B4E4E05" w:rsidR="00E02EF7" w:rsidRPr="00A11E3E" w:rsidRDefault="00E02EF7" w:rsidP="00614D1E">
      <w:pPr>
        <w:pStyle w:val="SynopsisText"/>
        <w:spacing w:before="60" w:line="360" w:lineRule="auto"/>
        <w:rPr>
          <w:rFonts w:ascii="Arial" w:hAnsi="Arial" w:cs="Arial"/>
          <w:lang w:val="en-GB"/>
        </w:rPr>
      </w:pPr>
    </w:p>
    <w:sectPr w:rsidR="00E02EF7" w:rsidRPr="00A11E3E" w:rsidSect="00FD169A">
      <w:headerReference w:type="default" r:id="rId8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E871" w14:textId="77777777" w:rsidR="00961838" w:rsidRDefault="00961838" w:rsidP="007C5B0F">
      <w:r>
        <w:separator/>
      </w:r>
    </w:p>
  </w:endnote>
  <w:endnote w:type="continuationSeparator" w:id="0">
    <w:p w14:paraId="6924F810" w14:textId="77777777" w:rsidR="00961838" w:rsidRDefault="00961838" w:rsidP="007C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64442" w14:textId="77777777" w:rsidR="00961838" w:rsidRDefault="00961838" w:rsidP="007C5B0F">
      <w:r>
        <w:separator/>
      </w:r>
    </w:p>
  </w:footnote>
  <w:footnote w:type="continuationSeparator" w:id="0">
    <w:p w14:paraId="1C82E919" w14:textId="77777777" w:rsidR="00961838" w:rsidRDefault="00961838" w:rsidP="007C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FDCC" w14:textId="3468F502" w:rsidR="001A17E6" w:rsidRPr="00B94769" w:rsidRDefault="0049074B">
    <w:pPr>
      <w:pStyle w:val="Kopfzeile"/>
      <w:rPr>
        <w:lang w:val="pt-PT"/>
      </w:rPr>
    </w:pPr>
    <w:r w:rsidRPr="00B94769">
      <w:rPr>
        <w:lang w:val="pt-PT"/>
      </w:rPr>
      <w:t>RETRO_PPMS_</w:t>
    </w:r>
    <w:r w:rsidR="00580225" w:rsidRPr="00B94769">
      <w:rPr>
        <w:lang w:val="pt-PT"/>
      </w:rPr>
      <w:t>E</w:t>
    </w:r>
    <w:r w:rsidR="004439E7">
      <w:rPr>
        <w:lang w:val="pt-PT"/>
      </w:rPr>
      <w:t>CF</w:t>
    </w:r>
    <w:r w:rsidRPr="00B94769">
      <w:rPr>
        <w:lang w:val="pt-PT"/>
      </w:rPr>
      <w:t>_</w:t>
    </w:r>
    <w:r w:rsidR="004439E7">
      <w:rPr>
        <w:lang w:val="pt-PT"/>
      </w:rPr>
      <w:t>encore</w:t>
    </w:r>
    <w:r w:rsidRPr="00B94769">
      <w:rPr>
        <w:lang w:val="pt-PT"/>
      </w:rPr>
      <w:t>_</w:t>
    </w:r>
    <w:r w:rsidR="00A6751F" w:rsidRPr="00B94769">
      <w:rPr>
        <w:lang w:val="pt-PT"/>
      </w:rPr>
      <w:t>202</w:t>
    </w:r>
    <w:r w:rsidR="00142367">
      <w:rPr>
        <w:lang w:val="pt-PT"/>
      </w:rPr>
      <w:t>21025</w:t>
    </w:r>
  </w:p>
  <w:p w14:paraId="00DFE911" w14:textId="5F58BDD0" w:rsidR="001A17E6" w:rsidRPr="00B94769" w:rsidRDefault="001A17E6">
    <w:pPr>
      <w:pStyle w:val="Kopfzeile"/>
      <w:rPr>
        <w:lang w:val="pt-PT"/>
      </w:rPr>
    </w:pPr>
  </w:p>
  <w:p w14:paraId="6212B69D" w14:textId="77777777" w:rsidR="001A17E6" w:rsidRPr="00B94769" w:rsidRDefault="001A17E6">
    <w:pPr>
      <w:pStyle w:val="Kopfzeile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DAACBE"/>
    <w:lvl w:ilvl="0">
      <w:start w:val="1"/>
      <w:numFmt w:val="bullet"/>
      <w:pStyle w:val="Aufzhlungszeichen"/>
      <w:lvlText w:val=""/>
      <w:lvlJc w:val="left"/>
      <w:pPr>
        <w:tabs>
          <w:tab w:val="num" w:pos="432"/>
        </w:tabs>
        <w:ind w:left="432" w:hanging="331"/>
      </w:pPr>
      <w:rPr>
        <w:rFonts w:ascii="Symbol" w:hAnsi="Symbol" w:hint="default"/>
      </w:rPr>
    </w:lvl>
  </w:abstractNum>
  <w:abstractNum w:abstractNumId="1" w15:restartNumberingAfterBreak="0">
    <w:nsid w:val="062039B9"/>
    <w:multiLevelType w:val="hybridMultilevel"/>
    <w:tmpl w:val="671ADC7E"/>
    <w:lvl w:ilvl="0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4046F4"/>
    <w:multiLevelType w:val="hybridMultilevel"/>
    <w:tmpl w:val="631A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7710"/>
    <w:multiLevelType w:val="hybridMultilevel"/>
    <w:tmpl w:val="F9561740"/>
    <w:lvl w:ilvl="0" w:tplc="040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60745A9"/>
    <w:multiLevelType w:val="hybridMultilevel"/>
    <w:tmpl w:val="DF205F6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C3D10AA"/>
    <w:multiLevelType w:val="hybridMultilevel"/>
    <w:tmpl w:val="1FAEB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443D"/>
    <w:multiLevelType w:val="multilevel"/>
    <w:tmpl w:val="351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B74A2"/>
    <w:multiLevelType w:val="hybridMultilevel"/>
    <w:tmpl w:val="BD502974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7B143AF"/>
    <w:multiLevelType w:val="hybridMultilevel"/>
    <w:tmpl w:val="929E38FA"/>
    <w:lvl w:ilvl="0" w:tplc="C26C4BCE">
      <w:start w:val="1"/>
      <w:numFmt w:val="upperLetter"/>
      <w:lvlText w:val="%1)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E517A88"/>
    <w:multiLevelType w:val="hybridMultilevel"/>
    <w:tmpl w:val="FD52BAD8"/>
    <w:lvl w:ilvl="0" w:tplc="D194C4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F718F"/>
    <w:multiLevelType w:val="hybridMultilevel"/>
    <w:tmpl w:val="8BB29AE4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1D516EA"/>
    <w:multiLevelType w:val="hybridMultilevel"/>
    <w:tmpl w:val="A93E5930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4964B8A"/>
    <w:multiLevelType w:val="hybridMultilevel"/>
    <w:tmpl w:val="72A6D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767C6"/>
    <w:multiLevelType w:val="hybridMultilevel"/>
    <w:tmpl w:val="46DE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51403"/>
    <w:multiLevelType w:val="hybridMultilevel"/>
    <w:tmpl w:val="B866D1B8"/>
    <w:lvl w:ilvl="0" w:tplc="A3D0FA60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FF84BB3"/>
    <w:multiLevelType w:val="hybridMultilevel"/>
    <w:tmpl w:val="AAC02C1C"/>
    <w:lvl w:ilvl="0" w:tplc="0DC6A3CE">
      <w:start w:val="1"/>
      <w:numFmt w:val="upperLetter"/>
      <w:lvlText w:val="%1)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77304753"/>
    <w:multiLevelType w:val="hybridMultilevel"/>
    <w:tmpl w:val="12827308"/>
    <w:lvl w:ilvl="0" w:tplc="6F72E87A">
      <w:start w:val="1"/>
      <w:numFmt w:val="bullet"/>
      <w:lvlText w:val="●"/>
      <w:lvlJc w:val="left"/>
      <w:pPr>
        <w:tabs>
          <w:tab w:val="num" w:pos="9291"/>
        </w:tabs>
        <w:ind w:left="9291" w:hanging="360"/>
      </w:pPr>
      <w:rPr>
        <w:rFonts w:ascii="Arial" w:hAnsi="Arial" w:hint="default"/>
      </w:rPr>
    </w:lvl>
    <w:lvl w:ilvl="1" w:tplc="1C1E0C26" w:tentative="1">
      <w:start w:val="1"/>
      <w:numFmt w:val="bullet"/>
      <w:lvlText w:val="●"/>
      <w:lvlJc w:val="left"/>
      <w:pPr>
        <w:tabs>
          <w:tab w:val="num" w:pos="10011"/>
        </w:tabs>
        <w:ind w:left="10011" w:hanging="360"/>
      </w:pPr>
      <w:rPr>
        <w:rFonts w:ascii="Arial" w:hAnsi="Arial" w:hint="default"/>
      </w:rPr>
    </w:lvl>
    <w:lvl w:ilvl="2" w:tplc="533CAEF6" w:tentative="1">
      <w:start w:val="1"/>
      <w:numFmt w:val="bullet"/>
      <w:lvlText w:val="●"/>
      <w:lvlJc w:val="left"/>
      <w:pPr>
        <w:tabs>
          <w:tab w:val="num" w:pos="10731"/>
        </w:tabs>
        <w:ind w:left="10731" w:hanging="360"/>
      </w:pPr>
      <w:rPr>
        <w:rFonts w:ascii="Arial" w:hAnsi="Arial" w:hint="default"/>
      </w:rPr>
    </w:lvl>
    <w:lvl w:ilvl="3" w:tplc="B83C8B5A" w:tentative="1">
      <w:start w:val="1"/>
      <w:numFmt w:val="bullet"/>
      <w:lvlText w:val="●"/>
      <w:lvlJc w:val="left"/>
      <w:pPr>
        <w:tabs>
          <w:tab w:val="num" w:pos="11451"/>
        </w:tabs>
        <w:ind w:left="11451" w:hanging="360"/>
      </w:pPr>
      <w:rPr>
        <w:rFonts w:ascii="Arial" w:hAnsi="Arial" w:hint="default"/>
      </w:rPr>
    </w:lvl>
    <w:lvl w:ilvl="4" w:tplc="A1BAEF48" w:tentative="1">
      <w:start w:val="1"/>
      <w:numFmt w:val="bullet"/>
      <w:lvlText w:val="●"/>
      <w:lvlJc w:val="left"/>
      <w:pPr>
        <w:tabs>
          <w:tab w:val="num" w:pos="12171"/>
        </w:tabs>
        <w:ind w:left="12171" w:hanging="360"/>
      </w:pPr>
      <w:rPr>
        <w:rFonts w:ascii="Arial" w:hAnsi="Arial" w:hint="default"/>
      </w:rPr>
    </w:lvl>
    <w:lvl w:ilvl="5" w:tplc="5ED81C54" w:tentative="1">
      <w:start w:val="1"/>
      <w:numFmt w:val="bullet"/>
      <w:lvlText w:val="●"/>
      <w:lvlJc w:val="left"/>
      <w:pPr>
        <w:tabs>
          <w:tab w:val="num" w:pos="12891"/>
        </w:tabs>
        <w:ind w:left="12891" w:hanging="360"/>
      </w:pPr>
      <w:rPr>
        <w:rFonts w:ascii="Arial" w:hAnsi="Arial" w:hint="default"/>
      </w:rPr>
    </w:lvl>
    <w:lvl w:ilvl="6" w:tplc="19A2DDF4" w:tentative="1">
      <w:start w:val="1"/>
      <w:numFmt w:val="bullet"/>
      <w:lvlText w:val="●"/>
      <w:lvlJc w:val="left"/>
      <w:pPr>
        <w:tabs>
          <w:tab w:val="num" w:pos="13611"/>
        </w:tabs>
        <w:ind w:left="13611" w:hanging="360"/>
      </w:pPr>
      <w:rPr>
        <w:rFonts w:ascii="Arial" w:hAnsi="Arial" w:hint="default"/>
      </w:rPr>
    </w:lvl>
    <w:lvl w:ilvl="7" w:tplc="5A4ECE5E" w:tentative="1">
      <w:start w:val="1"/>
      <w:numFmt w:val="bullet"/>
      <w:lvlText w:val="●"/>
      <w:lvlJc w:val="left"/>
      <w:pPr>
        <w:tabs>
          <w:tab w:val="num" w:pos="14331"/>
        </w:tabs>
        <w:ind w:left="14331" w:hanging="360"/>
      </w:pPr>
      <w:rPr>
        <w:rFonts w:ascii="Arial" w:hAnsi="Arial" w:hint="default"/>
      </w:rPr>
    </w:lvl>
    <w:lvl w:ilvl="8" w:tplc="8BC2FCCA" w:tentative="1">
      <w:start w:val="1"/>
      <w:numFmt w:val="bullet"/>
      <w:lvlText w:val="●"/>
      <w:lvlJc w:val="left"/>
      <w:pPr>
        <w:tabs>
          <w:tab w:val="num" w:pos="15051"/>
        </w:tabs>
        <w:ind w:left="15051" w:hanging="360"/>
      </w:pPr>
      <w:rPr>
        <w:rFonts w:ascii="Arial" w:hAnsi="Arial" w:hint="default"/>
      </w:rPr>
    </w:lvl>
  </w:abstractNum>
  <w:abstractNum w:abstractNumId="17" w15:restartNumberingAfterBreak="0">
    <w:nsid w:val="7D1B375A"/>
    <w:multiLevelType w:val="multilevel"/>
    <w:tmpl w:val="05806F3E"/>
    <w:lvl w:ilvl="0">
      <w:start w:val="1"/>
      <w:numFmt w:val="decimal"/>
      <w:pStyle w:val="SynopsisBullet"/>
      <w:lvlText w:val="%1.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17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3"/>
  </w:num>
  <w:num w:numId="12">
    <w:abstractNumId w:val="16"/>
  </w:num>
  <w:num w:numId="13">
    <w:abstractNumId w:val="5"/>
  </w:num>
  <w:num w:numId="14">
    <w:abstractNumId w:val="12"/>
  </w:num>
  <w:num w:numId="15">
    <w:abstractNumId w:val="9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F2"/>
    <w:rsid w:val="00003002"/>
    <w:rsid w:val="00016AB1"/>
    <w:rsid w:val="00020227"/>
    <w:rsid w:val="00020D18"/>
    <w:rsid w:val="000240C9"/>
    <w:rsid w:val="00033782"/>
    <w:rsid w:val="0005020F"/>
    <w:rsid w:val="0005247E"/>
    <w:rsid w:val="0005657C"/>
    <w:rsid w:val="00060CA6"/>
    <w:rsid w:val="00075FB2"/>
    <w:rsid w:val="000833CC"/>
    <w:rsid w:val="00084154"/>
    <w:rsid w:val="00096BA9"/>
    <w:rsid w:val="00097B1F"/>
    <w:rsid w:val="000A0C14"/>
    <w:rsid w:val="000A7147"/>
    <w:rsid w:val="000C7A5F"/>
    <w:rsid w:val="000D2CFD"/>
    <w:rsid w:val="000D7084"/>
    <w:rsid w:val="001015EA"/>
    <w:rsid w:val="00106600"/>
    <w:rsid w:val="00111F9C"/>
    <w:rsid w:val="00117CAD"/>
    <w:rsid w:val="00123DBD"/>
    <w:rsid w:val="00130BF7"/>
    <w:rsid w:val="00142367"/>
    <w:rsid w:val="001709B9"/>
    <w:rsid w:val="00170D06"/>
    <w:rsid w:val="0017724E"/>
    <w:rsid w:val="00181EEB"/>
    <w:rsid w:val="0018695A"/>
    <w:rsid w:val="001A17E6"/>
    <w:rsid w:val="001A1E99"/>
    <w:rsid w:val="001A4CA6"/>
    <w:rsid w:val="001B4606"/>
    <w:rsid w:val="001C20B0"/>
    <w:rsid w:val="001C3689"/>
    <w:rsid w:val="001C49B8"/>
    <w:rsid w:val="001C6669"/>
    <w:rsid w:val="001C7527"/>
    <w:rsid w:val="001D38C8"/>
    <w:rsid w:val="001D7784"/>
    <w:rsid w:val="00202565"/>
    <w:rsid w:val="002037A1"/>
    <w:rsid w:val="002062EC"/>
    <w:rsid w:val="00214AAA"/>
    <w:rsid w:val="00220777"/>
    <w:rsid w:val="00221B6B"/>
    <w:rsid w:val="00224063"/>
    <w:rsid w:val="00234A6A"/>
    <w:rsid w:val="00236843"/>
    <w:rsid w:val="0023767F"/>
    <w:rsid w:val="00254E18"/>
    <w:rsid w:val="0026374D"/>
    <w:rsid w:val="00270599"/>
    <w:rsid w:val="002707EC"/>
    <w:rsid w:val="0028588E"/>
    <w:rsid w:val="00285903"/>
    <w:rsid w:val="00287D52"/>
    <w:rsid w:val="002954E9"/>
    <w:rsid w:val="002A0FC3"/>
    <w:rsid w:val="002A16FA"/>
    <w:rsid w:val="002A3ECD"/>
    <w:rsid w:val="002B4B2F"/>
    <w:rsid w:val="002C2019"/>
    <w:rsid w:val="002C2B0F"/>
    <w:rsid w:val="002D54AE"/>
    <w:rsid w:val="002E3264"/>
    <w:rsid w:val="002E5020"/>
    <w:rsid w:val="00302BCB"/>
    <w:rsid w:val="00303C64"/>
    <w:rsid w:val="003117B9"/>
    <w:rsid w:val="00317239"/>
    <w:rsid w:val="00325A66"/>
    <w:rsid w:val="00330C9B"/>
    <w:rsid w:val="00337F74"/>
    <w:rsid w:val="0034651A"/>
    <w:rsid w:val="003517F6"/>
    <w:rsid w:val="0035560D"/>
    <w:rsid w:val="00360864"/>
    <w:rsid w:val="00360AEF"/>
    <w:rsid w:val="0036365E"/>
    <w:rsid w:val="00364FB0"/>
    <w:rsid w:val="00366170"/>
    <w:rsid w:val="003803F2"/>
    <w:rsid w:val="003839AB"/>
    <w:rsid w:val="00383CE1"/>
    <w:rsid w:val="0038445A"/>
    <w:rsid w:val="00390ED1"/>
    <w:rsid w:val="003920B6"/>
    <w:rsid w:val="003B74C0"/>
    <w:rsid w:val="003C15B3"/>
    <w:rsid w:val="003C2619"/>
    <w:rsid w:val="003C3A09"/>
    <w:rsid w:val="003C3BAF"/>
    <w:rsid w:val="003C519F"/>
    <w:rsid w:val="003C61C1"/>
    <w:rsid w:val="003D122B"/>
    <w:rsid w:val="003D2D5D"/>
    <w:rsid w:val="003D37ED"/>
    <w:rsid w:val="003E3AA5"/>
    <w:rsid w:val="00431AC1"/>
    <w:rsid w:val="00434F45"/>
    <w:rsid w:val="00435CF1"/>
    <w:rsid w:val="00436F55"/>
    <w:rsid w:val="004422A8"/>
    <w:rsid w:val="004439E7"/>
    <w:rsid w:val="00445F7F"/>
    <w:rsid w:val="00454B91"/>
    <w:rsid w:val="00454F23"/>
    <w:rsid w:val="00463BA2"/>
    <w:rsid w:val="00472F77"/>
    <w:rsid w:val="00477608"/>
    <w:rsid w:val="004803F4"/>
    <w:rsid w:val="00481A0C"/>
    <w:rsid w:val="00483218"/>
    <w:rsid w:val="00484210"/>
    <w:rsid w:val="00486F1D"/>
    <w:rsid w:val="0049074B"/>
    <w:rsid w:val="00492C29"/>
    <w:rsid w:val="00496DB6"/>
    <w:rsid w:val="004A0DB8"/>
    <w:rsid w:val="004A6B2B"/>
    <w:rsid w:val="004B563A"/>
    <w:rsid w:val="004C4E7E"/>
    <w:rsid w:val="004C745A"/>
    <w:rsid w:val="004D067B"/>
    <w:rsid w:val="004F153E"/>
    <w:rsid w:val="004F4D9B"/>
    <w:rsid w:val="0050348C"/>
    <w:rsid w:val="00511FFD"/>
    <w:rsid w:val="0051426E"/>
    <w:rsid w:val="00521D27"/>
    <w:rsid w:val="00522F4A"/>
    <w:rsid w:val="00537F96"/>
    <w:rsid w:val="005422A5"/>
    <w:rsid w:val="00542D33"/>
    <w:rsid w:val="005632C7"/>
    <w:rsid w:val="00580225"/>
    <w:rsid w:val="0058093B"/>
    <w:rsid w:val="00582086"/>
    <w:rsid w:val="00582448"/>
    <w:rsid w:val="005824E6"/>
    <w:rsid w:val="0058446B"/>
    <w:rsid w:val="00585065"/>
    <w:rsid w:val="0059113A"/>
    <w:rsid w:val="005946D3"/>
    <w:rsid w:val="005969BC"/>
    <w:rsid w:val="005979C9"/>
    <w:rsid w:val="005A2FC9"/>
    <w:rsid w:val="005A51B0"/>
    <w:rsid w:val="005A5B29"/>
    <w:rsid w:val="005A7D0E"/>
    <w:rsid w:val="005B3F33"/>
    <w:rsid w:val="005B7C65"/>
    <w:rsid w:val="005C68E3"/>
    <w:rsid w:val="005D49FF"/>
    <w:rsid w:val="005D797C"/>
    <w:rsid w:val="005D79D6"/>
    <w:rsid w:val="005E14AA"/>
    <w:rsid w:val="005F6B5E"/>
    <w:rsid w:val="00612607"/>
    <w:rsid w:val="00614D1E"/>
    <w:rsid w:val="00634137"/>
    <w:rsid w:val="006343E0"/>
    <w:rsid w:val="00651615"/>
    <w:rsid w:val="00652596"/>
    <w:rsid w:val="00661501"/>
    <w:rsid w:val="006664C7"/>
    <w:rsid w:val="00673643"/>
    <w:rsid w:val="00682823"/>
    <w:rsid w:val="00682826"/>
    <w:rsid w:val="00686279"/>
    <w:rsid w:val="00687540"/>
    <w:rsid w:val="00690E3D"/>
    <w:rsid w:val="00694E38"/>
    <w:rsid w:val="006A1199"/>
    <w:rsid w:val="006A5F43"/>
    <w:rsid w:val="006A61DF"/>
    <w:rsid w:val="006B57E9"/>
    <w:rsid w:val="006D0516"/>
    <w:rsid w:val="006D460D"/>
    <w:rsid w:val="006E40B9"/>
    <w:rsid w:val="006F1171"/>
    <w:rsid w:val="006F12F1"/>
    <w:rsid w:val="006F40AF"/>
    <w:rsid w:val="007046F2"/>
    <w:rsid w:val="0071134B"/>
    <w:rsid w:val="00721833"/>
    <w:rsid w:val="007305AD"/>
    <w:rsid w:val="007305FF"/>
    <w:rsid w:val="0073138B"/>
    <w:rsid w:val="00736FCD"/>
    <w:rsid w:val="00740AD3"/>
    <w:rsid w:val="00743561"/>
    <w:rsid w:val="00744EE8"/>
    <w:rsid w:val="00756EE1"/>
    <w:rsid w:val="0076774C"/>
    <w:rsid w:val="007A634B"/>
    <w:rsid w:val="007C0AB5"/>
    <w:rsid w:val="007C5B0F"/>
    <w:rsid w:val="007D1D5D"/>
    <w:rsid w:val="007E0D08"/>
    <w:rsid w:val="007F00D4"/>
    <w:rsid w:val="007F5B6B"/>
    <w:rsid w:val="00800091"/>
    <w:rsid w:val="008010D1"/>
    <w:rsid w:val="00812895"/>
    <w:rsid w:val="008168EB"/>
    <w:rsid w:val="00826BC3"/>
    <w:rsid w:val="00833D1D"/>
    <w:rsid w:val="00843E3F"/>
    <w:rsid w:val="0084685F"/>
    <w:rsid w:val="0087375B"/>
    <w:rsid w:val="0089359F"/>
    <w:rsid w:val="00894F1F"/>
    <w:rsid w:val="008B2004"/>
    <w:rsid w:val="008B4E56"/>
    <w:rsid w:val="008C2F0C"/>
    <w:rsid w:val="008D0533"/>
    <w:rsid w:val="008D2356"/>
    <w:rsid w:val="008E7BF6"/>
    <w:rsid w:val="008F7934"/>
    <w:rsid w:val="008F7C79"/>
    <w:rsid w:val="00913739"/>
    <w:rsid w:val="00927353"/>
    <w:rsid w:val="00942437"/>
    <w:rsid w:val="0094413C"/>
    <w:rsid w:val="00952058"/>
    <w:rsid w:val="00960AEC"/>
    <w:rsid w:val="00961838"/>
    <w:rsid w:val="009653B8"/>
    <w:rsid w:val="009A7D08"/>
    <w:rsid w:val="009C2610"/>
    <w:rsid w:val="009C4C72"/>
    <w:rsid w:val="009C67F7"/>
    <w:rsid w:val="009E7806"/>
    <w:rsid w:val="009F231F"/>
    <w:rsid w:val="00A07C26"/>
    <w:rsid w:val="00A11E3E"/>
    <w:rsid w:val="00A163F5"/>
    <w:rsid w:val="00A16BB4"/>
    <w:rsid w:val="00A20204"/>
    <w:rsid w:val="00A36945"/>
    <w:rsid w:val="00A454E4"/>
    <w:rsid w:val="00A56BC2"/>
    <w:rsid w:val="00A6751F"/>
    <w:rsid w:val="00A759ED"/>
    <w:rsid w:val="00A837E2"/>
    <w:rsid w:val="00A90852"/>
    <w:rsid w:val="00AD0648"/>
    <w:rsid w:val="00AD230E"/>
    <w:rsid w:val="00AD329B"/>
    <w:rsid w:val="00B00918"/>
    <w:rsid w:val="00B0186F"/>
    <w:rsid w:val="00B05F36"/>
    <w:rsid w:val="00B15665"/>
    <w:rsid w:val="00B1659E"/>
    <w:rsid w:val="00B22578"/>
    <w:rsid w:val="00B353DF"/>
    <w:rsid w:val="00B3563A"/>
    <w:rsid w:val="00B4639A"/>
    <w:rsid w:val="00B60BA7"/>
    <w:rsid w:val="00B67745"/>
    <w:rsid w:val="00B70E58"/>
    <w:rsid w:val="00B82A3C"/>
    <w:rsid w:val="00B94769"/>
    <w:rsid w:val="00B959D2"/>
    <w:rsid w:val="00BA2798"/>
    <w:rsid w:val="00BB252A"/>
    <w:rsid w:val="00BC3D64"/>
    <w:rsid w:val="00BD0E0E"/>
    <w:rsid w:val="00BD2BCB"/>
    <w:rsid w:val="00BE0CEF"/>
    <w:rsid w:val="00BE0F0E"/>
    <w:rsid w:val="00BF23A4"/>
    <w:rsid w:val="00C12917"/>
    <w:rsid w:val="00C20285"/>
    <w:rsid w:val="00C253BF"/>
    <w:rsid w:val="00C27E87"/>
    <w:rsid w:val="00C32CBA"/>
    <w:rsid w:val="00C343F3"/>
    <w:rsid w:val="00C41656"/>
    <w:rsid w:val="00C44717"/>
    <w:rsid w:val="00C46E4A"/>
    <w:rsid w:val="00C64083"/>
    <w:rsid w:val="00C81A3C"/>
    <w:rsid w:val="00C9315D"/>
    <w:rsid w:val="00CB30E0"/>
    <w:rsid w:val="00CB5037"/>
    <w:rsid w:val="00CC4F57"/>
    <w:rsid w:val="00CC7207"/>
    <w:rsid w:val="00CE0F9F"/>
    <w:rsid w:val="00CF689B"/>
    <w:rsid w:val="00D142F8"/>
    <w:rsid w:val="00D32365"/>
    <w:rsid w:val="00D35CF9"/>
    <w:rsid w:val="00D44FF1"/>
    <w:rsid w:val="00D45F92"/>
    <w:rsid w:val="00D57208"/>
    <w:rsid w:val="00D67732"/>
    <w:rsid w:val="00D7161C"/>
    <w:rsid w:val="00D8200E"/>
    <w:rsid w:val="00D825A3"/>
    <w:rsid w:val="00D87E92"/>
    <w:rsid w:val="00D93FCE"/>
    <w:rsid w:val="00DA4964"/>
    <w:rsid w:val="00DB0CB9"/>
    <w:rsid w:val="00DB313C"/>
    <w:rsid w:val="00DB5C21"/>
    <w:rsid w:val="00DC1193"/>
    <w:rsid w:val="00DC2DB3"/>
    <w:rsid w:val="00DC3717"/>
    <w:rsid w:val="00DD0818"/>
    <w:rsid w:val="00DD2FB6"/>
    <w:rsid w:val="00DD339C"/>
    <w:rsid w:val="00DE0831"/>
    <w:rsid w:val="00DE74B9"/>
    <w:rsid w:val="00DE7BA3"/>
    <w:rsid w:val="00DF2F09"/>
    <w:rsid w:val="00DF7BF9"/>
    <w:rsid w:val="00E02EF7"/>
    <w:rsid w:val="00E069B4"/>
    <w:rsid w:val="00E16B81"/>
    <w:rsid w:val="00E2337F"/>
    <w:rsid w:val="00E3128D"/>
    <w:rsid w:val="00E34CA6"/>
    <w:rsid w:val="00E36942"/>
    <w:rsid w:val="00E50057"/>
    <w:rsid w:val="00E51FCA"/>
    <w:rsid w:val="00E807F4"/>
    <w:rsid w:val="00E9347B"/>
    <w:rsid w:val="00EA4732"/>
    <w:rsid w:val="00EA5EC5"/>
    <w:rsid w:val="00EB3942"/>
    <w:rsid w:val="00EB665E"/>
    <w:rsid w:val="00ED0C84"/>
    <w:rsid w:val="00EE0694"/>
    <w:rsid w:val="00EE4EED"/>
    <w:rsid w:val="00EE79A3"/>
    <w:rsid w:val="00F04634"/>
    <w:rsid w:val="00F109DB"/>
    <w:rsid w:val="00F13451"/>
    <w:rsid w:val="00F14442"/>
    <w:rsid w:val="00F313E3"/>
    <w:rsid w:val="00F35D8D"/>
    <w:rsid w:val="00F655BA"/>
    <w:rsid w:val="00F65E8B"/>
    <w:rsid w:val="00F660CB"/>
    <w:rsid w:val="00F674AD"/>
    <w:rsid w:val="00F716A1"/>
    <w:rsid w:val="00F85065"/>
    <w:rsid w:val="00F866FB"/>
    <w:rsid w:val="00F900E2"/>
    <w:rsid w:val="00F97BDD"/>
    <w:rsid w:val="00FB1158"/>
    <w:rsid w:val="00FB5DBC"/>
    <w:rsid w:val="00FC275C"/>
    <w:rsid w:val="00FC2E3B"/>
    <w:rsid w:val="00FC2E4A"/>
    <w:rsid w:val="00FD169A"/>
    <w:rsid w:val="00FE08A0"/>
    <w:rsid w:val="00FE400E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AE491"/>
  <w15:docId w15:val="{72225B1D-410F-428A-B479-4C2BEB0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0F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0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ynopsisText">
    <w:name w:val="Synopsis Text"/>
    <w:basedOn w:val="Standard"/>
    <w:link w:val="SynopsisTextChar"/>
    <w:rsid w:val="005D49FF"/>
    <w:pPr>
      <w:spacing w:after="60" w:line="220" w:lineRule="exact"/>
      <w:ind w:left="72" w:right="72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SynopsisTextChar">
    <w:name w:val="Synopsis Text Char"/>
    <w:link w:val="SynopsisText"/>
    <w:locked/>
    <w:rsid w:val="005D49FF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7C5B0F"/>
    <w:pPr>
      <w:ind w:left="720"/>
      <w:contextualSpacing/>
    </w:pPr>
    <w:rPr>
      <w:rFonts w:ascii="Times New Roman" w:eastAsia="Calibri" w:hAnsi="Times New Roman" w:cs="Times New Roman"/>
      <w:szCs w:val="20"/>
      <w:lang w:eastAsia="de-DE"/>
    </w:rPr>
  </w:style>
  <w:style w:type="paragraph" w:customStyle="1" w:styleId="SynopsisBullet">
    <w:name w:val="Synopsis Bullet"/>
    <w:basedOn w:val="Aufzhlungszeichen"/>
    <w:rsid w:val="007C5B0F"/>
    <w:pPr>
      <w:keepLines/>
      <w:numPr>
        <w:numId w:val="5"/>
      </w:numPr>
      <w:spacing w:after="80" w:line="220" w:lineRule="exact"/>
      <w:ind w:right="72"/>
      <w:contextualSpacing w:val="0"/>
    </w:pPr>
    <w:rPr>
      <w:sz w:val="20"/>
    </w:rPr>
  </w:style>
  <w:style w:type="paragraph" w:styleId="Aufzhlungszeichen">
    <w:name w:val="List Bullet"/>
    <w:basedOn w:val="Standard"/>
    <w:uiPriority w:val="99"/>
    <w:unhideWhenUsed/>
    <w:rsid w:val="007C5B0F"/>
    <w:pPr>
      <w:numPr>
        <w:numId w:val="4"/>
      </w:numPr>
      <w:contextualSpacing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SynopsisHead2">
    <w:name w:val="Synopsis Head 2"/>
    <w:basedOn w:val="SynopsisHead1"/>
    <w:next w:val="SynopsisText"/>
    <w:rsid w:val="007C5B0F"/>
    <w:pPr>
      <w:spacing w:before="80"/>
    </w:pPr>
    <w:rPr>
      <w:u w:val="none"/>
    </w:rPr>
  </w:style>
  <w:style w:type="paragraph" w:customStyle="1" w:styleId="SynopsisHead1">
    <w:name w:val="Synopsis Head 1"/>
    <w:basedOn w:val="Standard"/>
    <w:next w:val="SynopsisText"/>
    <w:rsid w:val="007C5B0F"/>
    <w:pPr>
      <w:keepNext/>
      <w:keepLines/>
      <w:spacing w:before="120" w:after="40" w:line="220" w:lineRule="exact"/>
      <w:ind w:left="72" w:right="72"/>
    </w:pPr>
    <w:rPr>
      <w:rFonts w:ascii="Times New Roman" w:eastAsia="Times New Roman" w:hAnsi="Times New Roman" w:cs="Times New Roman"/>
      <w:b/>
      <w:sz w:val="20"/>
      <w:szCs w:val="20"/>
      <w:u w:val="single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7C5B0F"/>
    <w:rPr>
      <w:rFonts w:ascii="Times New Roman" w:eastAsia="Times New Roman" w:hAnsi="Times New Roman" w:cs="Times New Roman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7C5B0F"/>
    <w:rPr>
      <w:rFonts w:ascii="Times New Roman" w:eastAsia="Times New Roman" w:hAnsi="Times New Roman" w:cs="Times New Roman"/>
      <w:lang w:eastAsia="de-DE"/>
    </w:rPr>
  </w:style>
  <w:style w:type="character" w:styleId="Endnotenzeichen">
    <w:name w:val="endnote reference"/>
    <w:uiPriority w:val="99"/>
    <w:unhideWhenUsed/>
    <w:rsid w:val="007C5B0F"/>
    <w:rPr>
      <w:vertAlign w:val="superscript"/>
    </w:rPr>
  </w:style>
  <w:style w:type="character" w:customStyle="1" w:styleId="articletext1">
    <w:name w:val="articletext1"/>
    <w:rsid w:val="00C12917"/>
    <w:rPr>
      <w:rFonts w:ascii="Verdana" w:hAnsi="Verdana" w:hint="default"/>
      <w:b w:val="0"/>
      <w:bCs w:val="0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12917"/>
    <w:pPr>
      <w:ind w:left="720"/>
      <w:contextualSpacing/>
    </w:pPr>
    <w:rPr>
      <w:rFonts w:ascii="Times New Roman" w:eastAsia="Times New Roman" w:hAnsi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E8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E87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7E8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C27E87"/>
  </w:style>
  <w:style w:type="character" w:customStyle="1" w:styleId="KommentartextZchn">
    <w:name w:val="Kommentartext Zchn"/>
    <w:basedOn w:val="Absatz-Standardschriftart"/>
    <w:link w:val="Kommentartext"/>
    <w:uiPriority w:val="99"/>
    <w:rsid w:val="00C27E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7E8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7E8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3B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3BA2"/>
  </w:style>
  <w:style w:type="paragraph" w:styleId="Fuzeile">
    <w:name w:val="footer"/>
    <w:basedOn w:val="Standard"/>
    <w:link w:val="FuzeileZchn"/>
    <w:uiPriority w:val="99"/>
    <w:unhideWhenUsed/>
    <w:rsid w:val="00463B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3BA2"/>
  </w:style>
  <w:style w:type="paragraph" w:customStyle="1" w:styleId="Headings1">
    <w:name w:val="Headings 1"/>
    <w:basedOn w:val="Standard"/>
    <w:link w:val="Headings1Char"/>
    <w:qFormat/>
    <w:rsid w:val="00463BA2"/>
    <w:pPr>
      <w:spacing w:line="480" w:lineRule="auto"/>
    </w:pPr>
    <w:rPr>
      <w:rFonts w:ascii="Arial" w:eastAsiaTheme="minorEastAsia" w:hAnsi="Arial" w:cs="Arial"/>
      <w:b/>
      <w:sz w:val="22"/>
      <w:szCs w:val="22"/>
      <w:lang w:val="en-GB" w:eastAsia="zh-TW"/>
    </w:rPr>
  </w:style>
  <w:style w:type="character" w:customStyle="1" w:styleId="Headings1Char">
    <w:name w:val="Headings 1 Char"/>
    <w:basedOn w:val="Absatz-Standardschriftart"/>
    <w:link w:val="Headings1"/>
    <w:rsid w:val="00463BA2"/>
    <w:rPr>
      <w:rFonts w:ascii="Arial" w:eastAsiaTheme="minorEastAsia" w:hAnsi="Arial" w:cs="Arial"/>
      <w:b/>
      <w:sz w:val="22"/>
      <w:szCs w:val="22"/>
      <w:lang w:val="en-GB" w:eastAsia="zh-TW"/>
    </w:rPr>
  </w:style>
  <w:style w:type="paragraph" w:customStyle="1" w:styleId="Default">
    <w:name w:val="Default"/>
    <w:rsid w:val="00463BA2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table" w:styleId="Tabellenraster">
    <w:name w:val="Table Grid"/>
    <w:basedOn w:val="NormaleTabelle"/>
    <w:uiPriority w:val="39"/>
    <w:rsid w:val="008D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87E92"/>
  </w:style>
  <w:style w:type="paragraph" w:styleId="KeinLeerraum">
    <w:name w:val="No Spacing"/>
    <w:uiPriority w:val="1"/>
    <w:qFormat/>
    <w:rsid w:val="002A0FC3"/>
  </w:style>
  <w:style w:type="character" w:customStyle="1" w:styleId="berschrift1Zchn">
    <w:name w:val="Überschrift 1 Zchn"/>
    <w:basedOn w:val="Absatz-Standardschriftart"/>
    <w:link w:val="berschrift1"/>
    <w:uiPriority w:val="9"/>
    <w:rsid w:val="002A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F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597">
          <w:marLeft w:val="274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529">
          <w:marLeft w:val="274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404">
          <w:marLeft w:val="274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2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043986995834BB7EA35D839EB81AA" ma:contentTypeVersion="16" ma:contentTypeDescription="Create a new document." ma:contentTypeScope="" ma:versionID="aee769ab43651521e27cbcad2cd304e4">
  <xsd:schema xmlns:xsd="http://www.w3.org/2001/XMLSchema" xmlns:xs="http://www.w3.org/2001/XMLSchema" xmlns:p="http://schemas.microsoft.com/office/2006/metadata/properties" xmlns:ns2="773b0577-bea7-4f6e-b8dc-03f5f4926057" xmlns:ns3="e6bdda7f-f63a-4a4e-a1f5-2bf3d3b59618" targetNamespace="http://schemas.microsoft.com/office/2006/metadata/properties" ma:root="true" ma:fieldsID="50f33276976df894bf940ee2f7c2d4b7" ns2:_="" ns3:_="">
    <xsd:import namespace="773b0577-bea7-4f6e-b8dc-03f5f4926057"/>
    <xsd:import namespace="e6bdda7f-f63a-4a4e-a1f5-2bf3d3b59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b0577-bea7-4f6e-b8dc-03f5f4926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503ba6-c77d-4a47-a49f-513eb447c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dda7f-f63a-4a4e-a1f5-2bf3d3b596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6e5191-f4df-4d1b-90c7-f09bee2c4607}" ma:internalName="TaxCatchAll" ma:showField="CatchAllData" ma:web="e6bdda7f-f63a-4a4e-a1f5-2bf3d3b5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436DE-6BF8-41F8-BBD6-2F8B0BFE1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264F1-6462-4A35-AF1C-0B28126C4019}"/>
</file>

<file path=customXml/itemProps3.xml><?xml version="1.0" encoding="utf-8"?>
<ds:datastoreItem xmlns:ds="http://schemas.openxmlformats.org/officeDocument/2006/customXml" ds:itemID="{48201467-EDF3-45A3-884D-058A9F734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Shinner</dc:creator>
  <cp:lastModifiedBy>Buehner, Ingo {MWGM~Grenzach}</cp:lastModifiedBy>
  <cp:revision>4</cp:revision>
  <cp:lastPrinted>2022-09-29T05:58:00Z</cp:lastPrinted>
  <dcterms:created xsi:type="dcterms:W3CDTF">2022-10-25T17:32:00Z</dcterms:created>
  <dcterms:modified xsi:type="dcterms:W3CDTF">2022-10-25T17:34:00Z</dcterms:modified>
</cp:coreProperties>
</file>